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1C5F" w14:textId="77777777" w:rsidR="00817264" w:rsidRPr="005C7A60" w:rsidRDefault="0079763A" w:rsidP="005C7A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C7A60">
        <w:rPr>
          <w:rFonts w:ascii="Times New Roman" w:hAnsi="Times New Roman" w:cs="Times New Roman"/>
          <w:b/>
        </w:rPr>
        <w:t>Заверение потенциального покупателя</w:t>
      </w:r>
    </w:p>
    <w:p w14:paraId="3F3E1937" w14:textId="77777777" w:rsidR="00817264" w:rsidRPr="005C7A60" w:rsidRDefault="0079763A" w:rsidP="005C7A60">
      <w:pPr>
        <w:spacing w:after="0"/>
        <w:rPr>
          <w:rFonts w:ascii="Times New Roman" w:hAnsi="Times New Roman" w:cs="Times New Roman"/>
          <w:b/>
          <w:color w:val="020C22"/>
        </w:rPr>
      </w:pPr>
      <w:r w:rsidRPr="005C7A60">
        <w:rPr>
          <w:rFonts w:ascii="Times New Roman" w:eastAsia="Times New Roman" w:hAnsi="Times New Roman" w:cs="Times New Roman"/>
          <w:b/>
          <w:color w:val="020C22"/>
          <w:lang w:eastAsia="ru-RU"/>
        </w:rPr>
        <w:t xml:space="preserve">Дата ________ </w:t>
      </w:r>
    </w:p>
    <w:p w14:paraId="4C5A2F5E" w14:textId="77777777" w:rsidR="00817264" w:rsidRPr="005C7A60" w:rsidRDefault="00817264" w:rsidP="005C7A60">
      <w:pPr>
        <w:spacing w:after="0"/>
        <w:jc w:val="both"/>
        <w:rPr>
          <w:rFonts w:ascii="Times New Roman" w:hAnsi="Times New Roman" w:cs="Times New Roman"/>
          <w:b/>
          <w:color w:val="595959" w:themeColor="text1" w:themeTint="A6"/>
          <w:highlight w:val="yellow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w:rsidR="00817264" w:rsidRPr="005C7A60" w14:paraId="0BC0D80B" w14:textId="77777777">
        <w:trPr>
          <w:trHeight w:hRule="exact" w:val="54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80191" w14:textId="6453B3C2" w:rsidR="00817264" w:rsidRPr="005C7A60" w:rsidRDefault="0079763A" w:rsidP="005C7A6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C7A60">
              <w:rPr>
                <w:rFonts w:ascii="Times New Roman" w:eastAsia="Times New Roman" w:hAnsi="Times New Roman" w:cs="Times New Roman"/>
                <w:b/>
              </w:rPr>
              <w:t xml:space="preserve">Наименование юридического лица/ ФИО – потенциального </w:t>
            </w:r>
            <w:r w:rsidR="005C7A60" w:rsidRPr="005C7A60">
              <w:rPr>
                <w:rFonts w:ascii="Times New Roman" w:eastAsia="Times New Roman" w:hAnsi="Times New Roman" w:cs="Times New Roman"/>
                <w:b/>
              </w:rPr>
              <w:t>покупателя</w:t>
            </w:r>
            <w:r w:rsidRPr="005C7A60">
              <w:rPr>
                <w:rFonts w:ascii="Times New Roman" w:eastAsia="Times New Roman" w:hAnsi="Times New Roman" w:cs="Times New Roman"/>
                <w:b/>
              </w:rPr>
              <w:t xml:space="preserve"> _______</w:t>
            </w:r>
          </w:p>
        </w:tc>
      </w:tr>
      <w:tr w:rsidR="00817264" w:rsidRPr="005C7A60" w14:paraId="2C128E3E" w14:textId="77777777">
        <w:trPr>
          <w:trHeight w:hRule="exact" w:val="26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CD29A" w14:textId="77777777" w:rsidR="00817264" w:rsidRPr="005C7A60" w:rsidRDefault="0079763A" w:rsidP="005C7A6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7A60">
              <w:rPr>
                <w:rFonts w:ascii="Times New Roman" w:eastAsia="Times New Roman" w:hAnsi="Times New Roman" w:cs="Times New Roman"/>
                <w:b/>
              </w:rPr>
              <w:t>ИНН_______________</w:t>
            </w:r>
          </w:p>
          <w:p w14:paraId="5297FEB0" w14:textId="77777777" w:rsidR="00817264" w:rsidRPr="005C7A60" w:rsidRDefault="00817264" w:rsidP="005C7A6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EE79C64" w14:textId="77777777" w:rsidR="00817264" w:rsidRPr="005C7A60" w:rsidRDefault="00817264" w:rsidP="005C7A60">
      <w:pPr>
        <w:spacing w:after="0"/>
        <w:rPr>
          <w:rFonts w:ascii="Times New Roman" w:hAnsi="Times New Roman" w:cs="Times New Roman"/>
          <w:b/>
          <w:bCs/>
        </w:rPr>
      </w:pPr>
    </w:p>
    <w:p w14:paraId="7667872F" w14:textId="77777777" w:rsidR="00817264" w:rsidRPr="005C7A60" w:rsidRDefault="0079763A" w:rsidP="005C7A60">
      <w:pPr>
        <w:spacing w:after="0"/>
        <w:rPr>
          <w:rFonts w:ascii="Times New Roman" w:hAnsi="Times New Roman" w:cs="Times New Roman"/>
          <w:b/>
          <w:bCs/>
        </w:rPr>
      </w:pPr>
      <w:r w:rsidRPr="005C7A60">
        <w:rPr>
          <w:rFonts w:ascii="Times New Roman" w:eastAsia="Times New Roman" w:hAnsi="Times New Roman" w:cs="Times New Roman"/>
          <w:b/>
        </w:rPr>
        <w:t>Настоящим</w:t>
      </w:r>
      <w:r w:rsidRPr="005C7A60">
        <w:rPr>
          <w:rFonts w:ascii="Times New Roman" w:eastAsia="Times New Roman" w:hAnsi="Times New Roman" w:cs="Times New Roman"/>
          <w:b/>
          <w:bCs/>
        </w:rPr>
        <w:t xml:space="preserve"> </w:t>
      </w:r>
      <w:r w:rsidRPr="005C7A60">
        <w:rPr>
          <w:rFonts w:ascii="Times New Roman" w:eastAsia="Times New Roman" w:hAnsi="Times New Roman" w:cs="Times New Roman"/>
          <w:b/>
          <w:bCs/>
          <w:color w:val="000000" w:themeColor="text1"/>
        </w:rPr>
        <w:t>сообщаю и заверяю, что</w:t>
      </w:r>
      <w:r w:rsidRPr="005C7A60">
        <w:rPr>
          <w:rFonts w:ascii="Times New Roman" w:eastAsia="Times New Roman" w:hAnsi="Times New Roman" w:cs="Times New Roman"/>
          <w:b/>
          <w:bCs/>
        </w:rPr>
        <w:t xml:space="preserve"> со</w:t>
      </w:r>
      <w:r w:rsidRPr="005C7A60">
        <w:rPr>
          <w:rFonts w:ascii="Times New Roman" w:eastAsia="Times New Roman" w:hAnsi="Times New Roman" w:cs="Times New Roman"/>
          <w:b/>
        </w:rPr>
        <w:t>ответствую следующим требованиям:</w:t>
      </w:r>
    </w:p>
    <w:p w14:paraId="7CBA14A0" w14:textId="77777777" w:rsidR="00817264" w:rsidRPr="005C7A60" w:rsidRDefault="00817264" w:rsidP="005C7A6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456"/>
        <w:gridCol w:w="7052"/>
        <w:gridCol w:w="1838"/>
      </w:tblGrid>
      <w:tr w:rsidR="00817264" w:rsidRPr="005C7A60" w14:paraId="475747A3" w14:textId="77777777">
        <w:trPr>
          <w:trHeight w:val="6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63663" w14:textId="77777777" w:rsidR="00817264" w:rsidRPr="005C7A60" w:rsidRDefault="0079763A" w:rsidP="005C7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0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3BF9" w14:textId="77777777" w:rsidR="00817264" w:rsidRPr="005C7A60" w:rsidRDefault="0079763A" w:rsidP="005C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Требование </w:t>
            </w:r>
          </w:p>
        </w:tc>
        <w:tc>
          <w:tcPr>
            <w:tcW w:w="18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68849" w14:textId="77777777" w:rsidR="00817264" w:rsidRPr="005C7A60" w:rsidRDefault="0079763A" w:rsidP="005C7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Соответствие</w:t>
            </w:r>
          </w:p>
        </w:tc>
      </w:tr>
      <w:tr w:rsidR="00817264" w:rsidRPr="005C7A60" w14:paraId="6B086C9E" w14:textId="77777777">
        <w:trPr>
          <w:trHeight w:val="557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2070" w14:textId="77777777" w:rsidR="00817264" w:rsidRPr="005C7A60" w:rsidRDefault="0079763A" w:rsidP="005C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0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5BED" w14:textId="77777777" w:rsidR="00817264" w:rsidRPr="005C7A60" w:rsidRDefault="0079763A" w:rsidP="005C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Отсутствие отрицательной величины чистых активов.</w:t>
            </w:r>
          </w:p>
        </w:tc>
        <w:tc>
          <w:tcPr>
            <w:tcW w:w="1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7B06" w14:textId="77777777" w:rsidR="00817264" w:rsidRPr="005C7A60" w:rsidRDefault="0079763A" w:rsidP="005C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7264" w:rsidRPr="005C7A60" w14:paraId="4A73DCC1" w14:textId="77777777">
        <w:trPr>
          <w:trHeight w:val="111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BE8A1" w14:textId="77777777" w:rsidR="00817264" w:rsidRPr="005C7A60" w:rsidRDefault="0079763A" w:rsidP="005C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0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2C73" w14:textId="77777777" w:rsidR="00817264" w:rsidRPr="005C7A60" w:rsidRDefault="0079763A" w:rsidP="005C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вынесенных арбитражным судом определений/решений о введении одной из процедур банкротства в соответствии с законодательством.</w:t>
            </w:r>
          </w:p>
        </w:tc>
        <w:tc>
          <w:tcPr>
            <w:tcW w:w="1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07F3" w14:textId="77777777" w:rsidR="00817264" w:rsidRPr="005C7A60" w:rsidRDefault="0079763A" w:rsidP="005C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7264" w:rsidRPr="005C7A60" w14:paraId="7A4E9558" w14:textId="77777777">
        <w:trPr>
          <w:trHeight w:val="992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AC08" w14:textId="77777777" w:rsidR="00817264" w:rsidRPr="005C7A60" w:rsidRDefault="0079763A" w:rsidP="005C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0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C9987" w14:textId="77777777" w:rsidR="00817264" w:rsidRPr="005C7A60" w:rsidRDefault="0079763A" w:rsidP="005C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нахождение в состоянии судебного процесса, который может существенно ухудшить финансовое состояние.</w:t>
            </w:r>
          </w:p>
        </w:tc>
        <w:tc>
          <w:tcPr>
            <w:tcW w:w="1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ABC17" w14:textId="77777777" w:rsidR="00817264" w:rsidRPr="005C7A60" w:rsidRDefault="0079763A" w:rsidP="005C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7264" w:rsidRPr="005C7A60" w14:paraId="6D1AB57E" w14:textId="77777777">
        <w:trPr>
          <w:trHeight w:val="2821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4CC0" w14:textId="77777777" w:rsidR="00817264" w:rsidRPr="005C7A60" w:rsidRDefault="0079763A" w:rsidP="005C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0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13E4A" w14:textId="77777777" w:rsidR="00817264" w:rsidRPr="005C7A60" w:rsidRDefault="0079763A" w:rsidP="005C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стабильной убыточной текущей деятельности (убыточность определяется на основании показателя "Чистая прибыль (убыток) отчетного периода" Отчета о прибылях и убытках (формы N2)). Текущая деятельность заемщика признается стабильно убыточной: при наличии убытков во всех кварталах анализируемого периода (определяется отдельно за каждый квартал), или при одновременном наличии убытков по итогам последнего завершенного финансового года и завершенного периода текущего финансового года (определяется нарастающим итогом).</w:t>
            </w:r>
          </w:p>
        </w:tc>
        <w:tc>
          <w:tcPr>
            <w:tcW w:w="1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F5CDF" w14:textId="77777777" w:rsidR="00817264" w:rsidRPr="005C7A60" w:rsidRDefault="0079763A" w:rsidP="005C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7264" w:rsidRPr="005C7A60" w14:paraId="750D49A5" w14:textId="77777777">
        <w:trPr>
          <w:trHeight w:val="2677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A4ED" w14:textId="77777777" w:rsidR="00817264" w:rsidRPr="005C7A60" w:rsidRDefault="0079763A" w:rsidP="005C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70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DF35" w14:textId="79F8920F" w:rsidR="00817264" w:rsidRPr="005C7A60" w:rsidRDefault="0079763A" w:rsidP="005C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просроченной задолженности перед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Сбербанк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стороны лиц, которые могут оказывать существенное влияние на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«Микос» (ИНН 7701945772)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(конечного бенефициара бизнеса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«Микос»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акционеров / участников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«Микос»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владеющих пакетом акций / долей в уставном капитале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«Микос» 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размере более 20%; акционеров / участников юридических лиц. являющихся акционерами / участниками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«Микос»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владеющих пакетом акций / долей в уставном капитале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«Микос»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размере более 20%, владеющих пакетом акций / долей в уставном капитале данного юридического лица в размере более 20%).</w:t>
            </w:r>
          </w:p>
        </w:tc>
        <w:tc>
          <w:tcPr>
            <w:tcW w:w="1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B632" w14:textId="77777777" w:rsidR="00817264" w:rsidRPr="005C7A60" w:rsidRDefault="0079763A" w:rsidP="005C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7264" w:rsidRPr="005C7A60" w14:paraId="7C06D5D9" w14:textId="77777777">
        <w:trPr>
          <w:trHeight w:val="1568"/>
        </w:trPr>
        <w:tc>
          <w:tcPr>
            <w:tcW w:w="4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F2299" w14:textId="77777777" w:rsidR="00817264" w:rsidRPr="005C7A60" w:rsidRDefault="0079763A" w:rsidP="005C7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70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1189" w14:textId="3DED1F22" w:rsidR="00817264" w:rsidRPr="005C7A60" w:rsidRDefault="0079763A" w:rsidP="005C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Готовность оформить поручительство контролирующего бенефициара/бенефициаров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потенциального п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окупателя на всю сумму обязательств по кредиту на весь срок кредитования, поручительство контролирующей компании/компаний на всю сумму обязательств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«Микос»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 ПАО Сбербанк п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Договору об открытии невозобновляемой кредитной линии № 55/9056/0003/3/1/012/21 от 21.04.2021г</w:t>
            </w: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09953" w14:textId="77777777" w:rsidR="00817264" w:rsidRPr="005C7A60" w:rsidRDefault="0079763A" w:rsidP="005C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D46D7B9" w14:textId="77777777" w:rsidR="00817264" w:rsidRPr="005C7A60" w:rsidRDefault="00817264" w:rsidP="005C7A6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4820"/>
        <w:gridCol w:w="9922"/>
      </w:tblGrid>
      <w:tr w:rsidR="00817264" w:rsidRPr="005C7A60" w14:paraId="2BC1EB0D" w14:textId="77777777">
        <w:trPr>
          <w:trHeight w:val="7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B1A5" w14:textId="77777777" w:rsidR="00817264" w:rsidRPr="005C7A60" w:rsidRDefault="0079763A" w:rsidP="005C7A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7A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ФИО 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CDD3" w14:textId="77777777" w:rsidR="00817264" w:rsidRPr="005C7A60" w:rsidRDefault="00817264" w:rsidP="005C7A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17264" w:rsidRPr="005C7A60" w14:paraId="0CD871A0" w14:textId="77777777">
        <w:trPr>
          <w:trHeight w:val="21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30B91" w14:textId="77777777" w:rsidR="00817264" w:rsidRPr="005C7A60" w:rsidRDefault="0079763A" w:rsidP="005C7A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C7A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Подпись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F9C34" w14:textId="77777777" w:rsidR="00817264" w:rsidRPr="005C7A60" w:rsidRDefault="00817264" w:rsidP="005C7A60">
            <w:pPr>
              <w:spacing w:line="276" w:lineRule="auto"/>
              <w:jc w:val="center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</w:tr>
    </w:tbl>
    <w:p w14:paraId="668BCEFB" w14:textId="77777777" w:rsidR="00817264" w:rsidRPr="005C7A60" w:rsidRDefault="00817264" w:rsidP="005C7A6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C905471" w14:textId="77777777" w:rsidR="00817264" w:rsidRPr="005C7A60" w:rsidRDefault="00817264" w:rsidP="005C7A60">
      <w:pPr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817264" w:rsidRPr="005C7A60" w:rsidSect="005C7A60">
      <w:pgSz w:w="11906" w:h="16838"/>
      <w:pgMar w:top="851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DB6F" w14:textId="77777777" w:rsidR="00C14F8A" w:rsidRDefault="00C14F8A">
      <w:pPr>
        <w:spacing w:after="0" w:line="240" w:lineRule="auto"/>
      </w:pPr>
      <w:r>
        <w:separator/>
      </w:r>
    </w:p>
  </w:endnote>
  <w:endnote w:type="continuationSeparator" w:id="0">
    <w:p w14:paraId="60A47C51" w14:textId="77777777" w:rsidR="00C14F8A" w:rsidRDefault="00C1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99D9" w14:textId="77777777" w:rsidR="00C14F8A" w:rsidRDefault="00C14F8A">
      <w:pPr>
        <w:spacing w:after="0" w:line="240" w:lineRule="auto"/>
      </w:pPr>
      <w:r>
        <w:separator/>
      </w:r>
    </w:p>
  </w:footnote>
  <w:footnote w:type="continuationSeparator" w:id="0">
    <w:p w14:paraId="214FF3CB" w14:textId="77777777" w:rsidR="00C14F8A" w:rsidRDefault="00C14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64"/>
    <w:rsid w:val="00157415"/>
    <w:rsid w:val="005C7A60"/>
    <w:rsid w:val="005D7ECA"/>
    <w:rsid w:val="00656B09"/>
    <w:rsid w:val="0079763A"/>
    <w:rsid w:val="00817264"/>
    <w:rsid w:val="00C14F8A"/>
    <w:rsid w:val="00F4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55DA"/>
  <w15:docId w15:val="{AA7F8832-7147-4ED3-8595-8A59A5F6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styleId="aff3">
    <w:name w:val="Balloon Text"/>
    <w:basedOn w:val="a"/>
    <w:link w:val="aff4"/>
    <w:uiPriority w:val="99"/>
    <w:semiHidden/>
    <w:unhideWhenUsed/>
    <w:rsid w:val="0079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9763A"/>
    <w:rPr>
      <w:rFonts w:ascii="Segoe UI" w:hAnsi="Segoe UI" w:cs="Segoe UI"/>
      <w:sz w:val="18"/>
      <w:szCs w:val="18"/>
    </w:rPr>
  </w:style>
  <w:style w:type="character" w:styleId="aff5">
    <w:name w:val="annotation reference"/>
    <w:basedOn w:val="a0"/>
    <w:uiPriority w:val="99"/>
    <w:semiHidden/>
    <w:unhideWhenUsed/>
    <w:rsid w:val="0079763A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79763A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79763A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79763A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79763A"/>
    <w:rPr>
      <w:b/>
      <w:bCs/>
      <w:sz w:val="20"/>
      <w:szCs w:val="20"/>
    </w:rPr>
  </w:style>
  <w:style w:type="paragraph" w:styleId="affa">
    <w:name w:val="Revision"/>
    <w:hidden/>
    <w:uiPriority w:val="99"/>
    <w:semiHidden/>
    <w:rsid w:val="00F40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Дарья Николаевна</dc:creator>
  <cp:keywords/>
  <dc:description/>
  <cp:lastModifiedBy>Гончарова Дарья Николаевна</cp:lastModifiedBy>
  <cp:revision>2</cp:revision>
  <cp:lastPrinted>2026-04-22T06:09:00Z</cp:lastPrinted>
  <dcterms:created xsi:type="dcterms:W3CDTF">2026-04-22T08:42:00Z</dcterms:created>
  <dcterms:modified xsi:type="dcterms:W3CDTF">2026-04-22T08:42:00Z</dcterms:modified>
</cp:coreProperties>
</file>