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A71D" w14:textId="77777777" w:rsidR="009D4883" w:rsidRDefault="00E22B61">
      <w:pPr>
        <w:pStyle w:val="StGen0"/>
        <w:rPr>
          <w:sz w:val="22"/>
          <w:szCs w:val="22"/>
        </w:rPr>
      </w:pPr>
      <w:bookmarkStart w:id="4" w:name="_Hlk230015707"/>
      <w:r>
        <w:rPr>
          <w:sz w:val="22"/>
          <w:szCs w:val="22"/>
        </w:rPr>
        <w:t>Договор о задатке №____</w:t>
      </w:r>
    </w:p>
    <w:p w14:paraId="5ADEF1C1" w14:textId="77777777" w:rsidR="009D4883" w:rsidRDefault="00E22B61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bookmarkEnd w:id="3"/>
    <w:p w14:paraId="35ED5A5F" w14:textId="77777777" w:rsidR="009D4883" w:rsidRDefault="009D4883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6DB0BF82" w14:textId="77777777" w:rsidR="009D4883" w:rsidRDefault="00E22B61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Канцеровой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AFC5A1" w14:textId="4324BDAE" w:rsidR="009D4883" w:rsidRDefault="00E22B61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понижения начальной цены («голландский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Д</w:t>
      </w:r>
      <w:r>
        <w:rPr>
          <w:rFonts w:cs="Times New Roman"/>
          <w:b/>
          <w:sz w:val="22"/>
          <w:szCs w:val="22"/>
        </w:rPr>
        <w:t xml:space="preserve">оли в размере 100 (Сто) % уставного капитала Общества с ограниченной ответственностью </w:t>
      </w:r>
      <w:r>
        <w:rPr>
          <w:rFonts w:cs="Times New Roman"/>
          <w:b/>
          <w:bCs/>
          <w:sz w:val="22"/>
          <w:szCs w:val="22"/>
        </w:rPr>
        <w:t>«СПЕЦИАЛИЗИРОВАННЫЙ ЗАСТРОЙЩИК «ЭЛЕКТРОЛИТНЫЙ 7»</w:t>
      </w:r>
      <w:r>
        <w:rPr>
          <w:rFonts w:cs="Times New Roman"/>
          <w:b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номинальной стоимостью 10 000 000 (Десять миллионов) рублей 00 копеек 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623D7E70" w14:textId="77777777" w:rsidR="009D4883" w:rsidRDefault="00E22B61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6C287D6E" w14:textId="77777777" w:rsidR="009D4883" w:rsidRDefault="00E22B61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6860D0A1" w14:textId="77777777" w:rsidR="009D4883" w:rsidRDefault="00E22B61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6530B170" w14:textId="77777777" w:rsidR="009D4883" w:rsidRDefault="00E22B61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181406AF" w14:textId="77777777" w:rsidR="009D4883" w:rsidRDefault="00E22B61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35117C1" w14:textId="77777777" w:rsidR="009D4883" w:rsidRDefault="00E22B61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69091915" w14:textId="77777777" w:rsidR="009D4883" w:rsidRDefault="00E22B61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1D142FE5" w14:textId="77777777" w:rsidR="009D4883" w:rsidRDefault="00E22B61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A7E21EF" w14:textId="77777777" w:rsidR="009D4883" w:rsidRDefault="00E22B61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43E89B13" w14:textId="77777777" w:rsidR="009D4883" w:rsidRDefault="00E22B61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</w:t>
        <w:lastRenderedPageBreak/>
        <w:t>цедур, применяемых в деле о банкротстве, а также имущества частных собственников (далее – Регламент)</w:t>
      </w:r>
      <w:r>
        <w:rPr>
          <w:rStyle w:val="aff3"/>
          <w:rFonts w:cs="Times New Roman"/>
          <w:sz w:val="22"/>
          <w:szCs w:val="22"/>
        </w:rPr>
        <w:footnoteReference w:id="7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4D920C28" w14:textId="77777777" w:rsidR="009D4883" w:rsidRDefault="00E22B61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6E935B7" w14:textId="77777777" w:rsidR="009D4883" w:rsidRDefault="00E22B61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5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5"/>
      <w:r>
        <w:rPr>
          <w:rFonts w:cs="Times New Roman"/>
          <w:sz w:val="22"/>
          <w:szCs w:val="22"/>
        </w:rPr>
        <w:t xml:space="preserve"> аукциона.</w:t>
      </w:r>
    </w:p>
    <w:p w14:paraId="6BBEAFDA" w14:textId="77777777" w:rsidR="009D4883" w:rsidRDefault="00E22B61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0D6D4080" w14:textId="77777777" w:rsidR="009D4883" w:rsidRDefault="00E22B61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33501D2E" w14:textId="77777777" w:rsidR="009D4883" w:rsidRDefault="00E22B61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37C4DC5" w14:textId="738D9CA5" w:rsidR="009D4883" w:rsidRDefault="00E22B61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72C05328" w14:textId="77777777" w:rsidR="009D4883" w:rsidRDefault="009D4883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57432881" w14:textId="77777777" w:rsidR="009D4883" w:rsidRDefault="00E22B61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4675CA2F" w14:textId="77777777" w:rsidR="009D4883" w:rsidRDefault="009D4883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9D4883" w14:paraId="35D0A2E0" w14:textId="77777777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DA4770" w14:textId="77777777" w:rsidR="009D4883" w:rsidRDefault="00E22B61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63F36FC6" w14:textId="77777777" w:rsidR="009D4883" w:rsidRDefault="00E22B61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0D13E1D7" w14:textId="77777777" w:rsidR="009D4883" w:rsidRDefault="00E22B61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4ECB9F97" w14:textId="77777777" w:rsidR="009D4883" w:rsidRDefault="009D4883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4B63D51" w14:textId="77777777" w:rsidR="009D4883" w:rsidRDefault="00E22B61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0E5B47FC" w14:textId="77777777" w:rsidR="009D4883" w:rsidRDefault="00E22B6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5EE55640" w14:textId="77777777" w:rsidR="009D4883" w:rsidRDefault="00E22B6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1F2ACEF0" w14:textId="77777777" w:rsidR="009D4883" w:rsidRDefault="00E22B6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48518010" w14:textId="77777777" w:rsidR="009D4883" w:rsidRDefault="00E22B61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6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79AACC76" w14:textId="77777777" w:rsidR="009D4883" w:rsidRDefault="00E22B61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2872C53A" w14:textId="77777777" w:rsidR="009D4883" w:rsidRDefault="00E22B61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56050D5F" w14:textId="77777777" w:rsidR="009D4883" w:rsidRDefault="00E22B61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1ADEE468" w14:textId="77777777" w:rsidR="009D4883" w:rsidRDefault="00E22B61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6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ED3D06" w14:textId="77777777" w:rsidR="009D4883" w:rsidRDefault="009D4883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4B07D0" w14:textId="77777777" w:rsidR="009D4883" w:rsidRDefault="00E22B61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2C77A17D" w14:textId="77777777" w:rsidR="009D4883" w:rsidRDefault="00E22B61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047AF3AF" w14:textId="77777777" w:rsidR="009D4883" w:rsidRDefault="00E22B6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BE327AF" w14:textId="77777777" w:rsidR="009D4883" w:rsidRDefault="00E22B6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4765DBB" w14:textId="77777777" w:rsidR="009D4883" w:rsidRDefault="00E22B6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BF6C432" w14:textId="77777777" w:rsidR="009D4883" w:rsidRDefault="00E22B6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4D19645" w14:textId="77777777" w:rsidR="009D4883" w:rsidRDefault="00E22B6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177EA252" w14:textId="77777777" w:rsidR="009D4883" w:rsidRDefault="00E22B6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025E1AD" w14:textId="77777777" w:rsidR="009D4883" w:rsidRDefault="009D4883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236F4425" w14:textId="77777777" w:rsidR="009D4883" w:rsidRDefault="00E22B61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7E95FC0E" w14:textId="77777777" w:rsidR="009D4883" w:rsidRDefault="00E22B61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  <w:tab/>
        <w:tab/>
        <w:t xml:space="preserve"> </w:t>
        <w:tab/>
        <w:t>ОТ ПРЕТЕНДЕНТА</w:t>
      </w:r>
    </w:p>
    <w:p w14:paraId="5AF3A344" w14:textId="77777777" w:rsidR="009D4883" w:rsidRDefault="00E22B6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_____________________/ Е.В. Канцерова/</w:t>
        <w:tab/>
        <w:t xml:space="preserve">            _______________________/_________</w:t>
      </w:r>
    </w:p>
    <w:p w14:paraId="4FCB3D0C" w14:textId="77777777" w:rsidR="009D4883" w:rsidRDefault="009D4883">
      <w:pPr>
        <w:rPr>
          <w:rFonts w:cs="Times New Roman"/>
          <w:sz w:val="22"/>
          <w:szCs w:val="22"/>
        </w:rPr>
      </w:pPr>
    </w:p>
    <w:p w14:paraId="42F1CAED" w14:textId="77777777" w:rsidR="009D4883" w:rsidRDefault="009D4883">
      <w:pPr>
        <w:rPr>
          <w:rFonts w:cs="Times New Roman"/>
          <w:sz w:val="22"/>
          <w:szCs w:val="22"/>
        </w:rPr>
      </w:pPr>
    </w:p>
    <w:p w14:paraId="5102D092" w14:textId="77777777" w:rsidR="009D4883" w:rsidRDefault="009D4883">
      <w:pPr>
        <w:ind w:firstLine="708"/>
        <w:rPr>
          <w:rFonts w:cs="Times New Roman"/>
          <w:b/>
          <w:sz w:val="22"/>
          <w:szCs w:val="22"/>
        </w:rPr>
      </w:pPr>
    </w:p>
    <w:bookmarkEnd w:id="4"/>
    <w:p w14:paraId="74084F25" w14:textId="77777777" w:rsidR="009D4883" w:rsidRDefault="009D4883">
      <w:pPr>
        <w:rPr>
          <w:rFonts w:cs="Times New Roman"/>
          <w:b/>
          <w:sz w:val="22"/>
          <w:szCs w:val="22"/>
        </w:rPr>
      </w:pPr>
    </w:p>
    <w:sectPr w:rsidR="009D4883">
      <w:pgSz w:w="11906" w:h="16838"/>
      <w:pgMar w:top="1134" w:right="851" w:bottom="1134" w:left="1701" w:header="0" w:footer="0" w:gutter="0"/>
      <w:cols w:space="72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AD_HOLDING" w:date="2026-03-31T18:01:00Z" w:initials="R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Прошу заполнить, предоставить договор залога. Распоряжение предметом залога с предварительного согласия Залогодержателя? в какой момент будет предоставлено согласие?</w:t>
      </w:r>
    </w:p>
  </w:comment>
  <w:comment w:id="1" w:author="Татьяна" w:date="2026-04-15T17:02:00Z" w:initials="Т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Согласие банка было предоставлено ранее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35068C6" w16cex:dateUtc="2026-03-31T15:01:00Z"/>
  <w16cex:commentExtensible w16cex:durableId="5796F642" w16cex:dateUtc="2026-04-15T14:02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35068C6"/>
  <w16cid:commentId w16cid:paraId="00000002" w16cid:durableId="5796F6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FA43" w14:textId="77777777" w:rsidR="00F62AD3" w:rsidRDefault="00F62AD3">
      <w:r>
        <w:separator/>
      </w:r>
    </w:p>
  </w:endnote>
  <w:endnote w:type="continuationSeparator" w:id="0">
    <w:p w14:paraId="31B29E87" w14:textId="77777777" w:rsidR="00F62AD3" w:rsidRDefault="00F6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default"/>
  </w:font>
  <w:font w:name="Arial, sans-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2B1B3" w14:textId="77777777" w:rsidR="00F62AD3" w:rsidRDefault="00F62AD3">
      <w:r>
        <w:separator/>
      </w:r>
    </w:p>
  </w:footnote>
  <w:footnote w:type="continuationSeparator" w:id="0">
    <w:p w14:paraId="4FFE016F" w14:textId="77777777" w:rsidR="00F62AD3" w:rsidRDefault="00F62AD3">
      <w:r>
        <w:continuationSeparator/>
      </w:r>
    </w:p>
  </w:footnote>
  <w:footnote w:id="1">
    <w:p w14:paraId="477E1FC4" w14:textId="77777777" w:rsidR="009D4883" w:rsidRDefault="00E22B61">
      <w:pPr>
        <w:pStyle w:val="af7"/>
      </w:pPr>
      <w:r>
        <w:rPr>
          <w:rStyle w:val="aff3"/>
        </w:rPr>
        <w:footnoteRef/>
      </w:r>
      <w:r>
        <w:t xml:space="preserve"> Торги   проводятся  в   электронной   торговой  сессии  на  условиях,  определенных    настоящим  Информационным  сообщением. </w:t>
      </w:r>
    </w:p>
  </w:footnote>
  <w:footnote w:id="2">
    <w:p w14:paraId="4C9570A7" w14:textId="77777777" w:rsidR="009D4883" w:rsidRDefault="00E22B61">
      <w:pPr>
        <w:jc w:val="both"/>
        <w:rPr>
          <w:rFonts w:eastAsia="Calibri" w:cs="Times New Roman"/>
          <w:lang w:eastAsia="en-US"/>
        </w:rPr>
      </w:pPr>
      <w:r>
        <w:rPr>
          <w:rStyle w:val="aff3"/>
          <w:rFonts w:cs="Times New Roman"/>
        </w:rPr>
        <w:footnoteRef/>
      </w:r>
      <w:r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sz w:val="20"/>
          <w:szCs w:val="20"/>
          <w:lang w:eastAsia="en-US"/>
        </w:rPr>
        <w:t>Физическое лицо (физические лица), которое в конечном счете прямо или косвенно (через третьих лиц) владеет (имеет преобладающее участие более 25 процентов в капитале) юридическим лицом либо имеет возможность контролировать его действия, в т.ч. имеет возможность определять решения, принимаемые этим юридическим лицом.</w:t>
      </w:r>
    </w:p>
  </w:footnote>
  <w:footnote w:id="3">
    <w:p w14:paraId="1C0F9754" w14:textId="77777777" w:rsidR="009D4883" w:rsidRDefault="00E22B61">
      <w:r>
        <w:rPr>
          <w:rStyle w:val="aff3"/>
          <w:rFonts w:cs="Times New Roman"/>
        </w:rPr>
        <w:footnoteRef/>
      </w:r>
      <w:r>
        <w:rPr>
          <w:rFonts w:eastAsia="Calibri" w:cs="Times New Roman"/>
          <w:sz w:val="20"/>
          <w:szCs w:val="20"/>
          <w:lang w:eastAsia="en-US"/>
        </w:rPr>
        <w:t>Юридические лица в качестве бенефициарного владельца указывают физическое лицо (физических лиц),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клиента, в т.ч. имеет возможность определять решения, принимаемые клиентом.</w:t>
      </w:r>
    </w:p>
    <w:p w14:paraId="1D2D3122" w14:textId="77777777" w:rsidR="009D4883" w:rsidRDefault="009D4883"/>
  </w:footnote>
  <w:footnote w:id="4">
    <w:p w14:paraId="69C2A0FE" w14:textId="77777777" w:rsidR="009D4883" w:rsidRDefault="00E22B61">
      <w:pPr>
        <w:rPr>
          <w:sz w:val="20"/>
          <w:szCs w:val="20"/>
        </w:rPr>
      </w:pPr>
      <w:r>
        <w:rPr>
          <w:sz w:val="20"/>
          <w:szCs w:val="20"/>
        </w:rPr>
        <w:t>иностранные публичные должностные лица, должностные лица публичных международных организаций, а также лица, замещающие (занимающие) государственные должности РФ, должности членов Совета директоров ЦБРФ, должности федеральной государственной службы, назначение на которые и освобождение от которых осуществляются Президентом РФ или Правительством РФ, должности в ЦБРФ,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</w:t>
      </w:r>
    </w:p>
    <w:p w14:paraId="6AA72097" w14:textId="77777777" w:rsidR="009D4883" w:rsidRDefault="009D4883"/>
  </w:footnote>
  <w:footnote w:id="5">
    <w:p w14:paraId="289A2569" w14:textId="77777777" w:rsidR="009D4883" w:rsidRDefault="00E22B61">
      <w:pPr>
        <w:pStyle w:val="af7"/>
      </w:pPr>
      <w:r>
        <w:rPr>
          <w:rStyle w:val="aff3"/>
        </w:rPr>
        <w:t>1</w:t>
      </w:r>
      <w:hyperlink r:id="rId1" w:tooltip="consultantplus://offline/ref=F7230824660DDAF21EA5398249CCB0A40399D533DB0B96603E596081FDDC91BD2741A80EA823229569EDE85C7Fl1C8U" w:history="1">
        <w:r>
          <w:rPr>
            <w:rStyle w:val="aff"/>
          </w:rPr>
          <w:t>Конвенция</w:t>
        </w:r>
      </w:hyperlink>
      <w:r>
        <w:t xml:space="preserve"> Организации Объединенных Наций против коррупции (принята в г. Нью-Йорке 31.10.2003) Резолюцией 58/4 на 51-м пленарном заседании 58-й сессии Генеральной Ассамблеи ООН).</w:t>
      </w:r>
    </w:p>
    <w:p w14:paraId="3C99FDD8" w14:textId="77777777" w:rsidR="009D4883" w:rsidRDefault="00E22B61">
      <w:pPr>
        <w:pStyle w:val="af7"/>
      </w:pPr>
      <w:r>
        <w:rPr>
          <w:rStyle w:val="aff3"/>
        </w:rPr>
        <w:t>2</w:t>
      </w:r>
      <w:r>
        <w:t xml:space="preserve"> Общий словарь к Рекомендациям Группы разработки финансовых мер по борьбе с отмыванием денег (ФАТФ).</w:t>
      </w:r>
    </w:p>
  </w:footnote>
  <w:footnote w:id="6">
    <w:p w14:paraId="7AAC12FE" w14:textId="77777777" w:rsidR="009D4883" w:rsidRDefault="00E22B61">
      <w:pPr>
        <w:pStyle w:val="af7"/>
        <w:rPr>
          <w:rFonts w:eastAsia="Times New Roman"/>
          <w:lang w:eastAsia="ru-RU"/>
        </w:rPr>
      </w:pPr>
      <w:r>
        <w:rPr>
          <w:rStyle w:val="afff7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36619E13" w14:textId="77777777" w:rsidR="009D4883" w:rsidRDefault="00E22B61">
      <w:pPr>
        <w:pStyle w:val="af7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  <w:footnote w:id="7">
    <w:p w14:paraId="59FA05DC" w14:textId="77777777" w:rsidR="009D4883" w:rsidRDefault="00E22B61">
      <w:pPr>
        <w:pStyle w:val="af7"/>
      </w:pPr>
      <w:r>
        <w:rPr>
          <w:rStyle w:val="aff3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AD8"/>
    <w:multiLevelType w:val="multilevel"/>
    <w:tmpl w:val="E280F990"/>
    <w:lvl w:ilvl="0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243349"/>
    <w:multiLevelType w:val="multilevel"/>
    <w:tmpl w:val="CC184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i/>
      </w:rPr>
    </w:lvl>
  </w:abstractNum>
  <w:abstractNum w:abstractNumId="2" w15:restartNumberingAfterBreak="0">
    <w:nsid w:val="09430D1D"/>
    <w:multiLevelType w:val="multilevel"/>
    <w:tmpl w:val="B19C6222"/>
    <w:lvl w:ilvl="0">
      <w:start w:val="1"/>
      <w:numFmt w:val="decimal"/>
      <w:lvlText w:val="%1."/>
      <w:lvlJc w:val="left"/>
      <w:pPr>
        <w:ind w:left="-349" w:hanging="360"/>
      </w:pPr>
      <w:rPr>
        <w:rFonts w:ascii="Verdana" w:hAnsi="Verdana" w:hint="default"/>
        <w:sz w:val="20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0F9D2BCC"/>
    <w:multiLevelType w:val="multilevel"/>
    <w:tmpl w:val="25F44978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FAF62A5"/>
    <w:multiLevelType w:val="multilevel"/>
    <w:tmpl w:val="078CE32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3C63828"/>
    <w:multiLevelType w:val="multilevel"/>
    <w:tmpl w:val="148EE3A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1CF754A5"/>
    <w:multiLevelType w:val="multilevel"/>
    <w:tmpl w:val="4ED24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7D4F"/>
    <w:multiLevelType w:val="multilevel"/>
    <w:tmpl w:val="90242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B10332A"/>
    <w:multiLevelType w:val="multilevel"/>
    <w:tmpl w:val="2FCCEECA"/>
    <w:lvl w:ilvl="0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27626"/>
    <w:multiLevelType w:val="multilevel"/>
    <w:tmpl w:val="4470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EC9233A"/>
    <w:multiLevelType w:val="multilevel"/>
    <w:tmpl w:val="5F72115C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034FE6"/>
    <w:multiLevelType w:val="multilevel"/>
    <w:tmpl w:val="5B5E7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35DF6"/>
    <w:multiLevelType w:val="multilevel"/>
    <w:tmpl w:val="2F12219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2675C30"/>
    <w:multiLevelType w:val="multilevel"/>
    <w:tmpl w:val="F4888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3704"/>
    <w:multiLevelType w:val="multilevel"/>
    <w:tmpl w:val="98E4C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455FB"/>
    <w:multiLevelType w:val="multilevel"/>
    <w:tmpl w:val="F9CC9DE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3D436396"/>
    <w:multiLevelType w:val="multilevel"/>
    <w:tmpl w:val="CBDAF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04F63F9"/>
    <w:multiLevelType w:val="multilevel"/>
    <w:tmpl w:val="5478093C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082A98"/>
    <w:multiLevelType w:val="multilevel"/>
    <w:tmpl w:val="A68CE03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483C5BB6"/>
    <w:multiLevelType w:val="multilevel"/>
    <w:tmpl w:val="D1F41B3E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75173B5"/>
    <w:multiLevelType w:val="multilevel"/>
    <w:tmpl w:val="8F3ECF5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6B71B5"/>
    <w:multiLevelType w:val="multilevel"/>
    <w:tmpl w:val="50C642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D0EDB"/>
    <w:multiLevelType w:val="multilevel"/>
    <w:tmpl w:val="EB222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FC2A60"/>
    <w:multiLevelType w:val="multilevel"/>
    <w:tmpl w:val="E98E6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C16"/>
    <w:multiLevelType w:val="multilevel"/>
    <w:tmpl w:val="95D2376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5" w15:restartNumberingAfterBreak="0">
    <w:nsid w:val="718009F3"/>
    <w:multiLevelType w:val="multilevel"/>
    <w:tmpl w:val="1E90F2AC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2EA5AA5"/>
    <w:multiLevelType w:val="multilevel"/>
    <w:tmpl w:val="5BB80C9E"/>
    <w:lvl w:ilvl="0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C407219"/>
    <w:multiLevelType w:val="multilevel"/>
    <w:tmpl w:val="6C08C794"/>
    <w:lvl w:ilvl="0">
      <w:start w:val="1"/>
      <w:numFmt w:val="decimal"/>
      <w:lvlText w:val="3.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5"/>
  </w:num>
  <w:num w:numId="2">
    <w:abstractNumId w:val="3"/>
  </w:num>
  <w:num w:numId="3">
    <w:abstractNumId w:val="18"/>
  </w:num>
  <w:num w:numId="4">
    <w:abstractNumId w:val="7"/>
  </w:num>
  <w:num w:numId="5">
    <w:abstractNumId w:val="8"/>
  </w:num>
  <w:num w:numId="6">
    <w:abstractNumId w:val="23"/>
  </w:num>
  <w:num w:numId="7">
    <w:abstractNumId w:val="24"/>
  </w:num>
  <w:num w:numId="8">
    <w:abstractNumId w:val="2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0"/>
  </w:num>
  <w:num w:numId="12">
    <w:abstractNumId w:val="27"/>
  </w:num>
  <w:num w:numId="13">
    <w:abstractNumId w:val="21"/>
  </w:num>
  <w:num w:numId="14">
    <w:abstractNumId w:val="4"/>
  </w:num>
  <w:num w:numId="15">
    <w:abstractNumId w:val="25"/>
  </w:num>
  <w:num w:numId="16">
    <w:abstractNumId w:val="13"/>
  </w:num>
  <w:num w:numId="17">
    <w:abstractNumId w:val="19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">
    <w15:presenceInfo w15:providerId="None" w15:userId="Татья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883"/>
    <w:rsid w:val="00351A40"/>
    <w:rsid w:val="00432D88"/>
    <w:rsid w:val="006F085B"/>
    <w:rsid w:val="00735959"/>
    <w:rsid w:val="007A6818"/>
    <w:rsid w:val="007D3F2B"/>
    <w:rsid w:val="009D4883"/>
    <w:rsid w:val="00DC6F8F"/>
    <w:rsid w:val="00E22B61"/>
    <w:rsid w:val="00F6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D576"/>
  <w15:docId w15:val="{2A02DBA8-E241-42A2-954C-CE67331A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link w:val="1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link w:val="14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qFormat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unhideWhenUsed/>
    <w:qFormat/>
    <w:rPr>
      <w:sz w:val="16"/>
      <w:szCs w:val="16"/>
    </w:rPr>
  </w:style>
  <w:style w:type="character" w:styleId="aff8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9">
    <w:name w:val="Тема примечания Знак"/>
    <w:basedOn w:val="aff5"/>
    <w:link w:val="affa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6">
    <w:name w:val="Title"/>
    <w:basedOn w:val="a"/>
    <w:next w:val="affb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20"/>
    </w:pPr>
  </w:style>
  <w:style w:type="paragraph" w:styleId="affc">
    <w:name w:val="List"/>
    <w:basedOn w:val="affb"/>
  </w:style>
  <w:style w:type="paragraph" w:styleId="aff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15">
    <w:name w:val="Заголовок1"/>
    <w:basedOn w:val="a"/>
    <w:next w:val="affb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qFormat/>
    <w:pPr>
      <w:suppressLineNumbers/>
    </w:pPr>
  </w:style>
  <w:style w:type="paragraph" w:customStyle="1" w:styleId="afff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0">
    <w:name w:val="List Paragraph"/>
    <w:basedOn w:val="a"/>
    <w:link w:val="afff1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2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3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4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paragraph" w:customStyle="1" w:styleId="afff5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a">
    <w:name w:val="annotation subject"/>
    <w:basedOn w:val="aff6"/>
    <w:next w:val="aff6"/>
    <w:link w:val="aff9"/>
    <w:uiPriority w:val="99"/>
    <w:semiHidden/>
    <w:unhideWhenUsed/>
    <w:qFormat/>
    <w:rPr>
      <w:b/>
      <w:bCs/>
    </w:rPr>
  </w:style>
  <w:style w:type="paragraph" w:customStyle="1" w:styleId="afff6">
    <w:name w:val="Знак Знак"/>
    <w:basedOn w:val="a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  <w:style w:type="paragraph" w:customStyle="1" w:styleId="14">
    <w:name w:val="Текст сноски1"/>
    <w:link w:val="ListTable2-Accent5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NTTimes/Cyrillic" w:hAnsi="NTTimes/Cyrillic"/>
      <w:lang w:val="en-US"/>
    </w:rPr>
  </w:style>
  <w:style w:type="character" w:customStyle="1" w:styleId="13">
    <w:name w:val="Знак сноски1"/>
    <w:link w:val="GridTable7Colorful-Accent1"/>
    <w:uiPriority w:val="99"/>
    <w:semiHidden/>
    <w:unhideWhenUsed/>
    <w:rPr>
      <w:rFonts w:cs="Times New Roman"/>
      <w:vertAlign w:val="superscript"/>
    </w:rPr>
  </w:style>
  <w:style w:type="character" w:customStyle="1" w:styleId="docdata">
    <w:name w:val="docdata"/>
    <w:uiPriority w:val="99"/>
  </w:style>
  <w:style w:type="paragraph" w:customStyle="1" w:styleId="ConsCell">
    <w:name w:val="ConsCell"/>
    <w:pPr>
      <w:widowControl w:val="0"/>
    </w:pPr>
    <w:rPr>
      <w:rFonts w:ascii="Arial" w:hAnsi="Arial" w:cs="Arial"/>
    </w:rPr>
  </w:style>
  <w:style w:type="paragraph" w:customStyle="1" w:styleId="ConsNormal">
    <w:name w:val="ConsNormal"/>
    <w:uiPriority w:val="99"/>
    <w:pPr>
      <w:ind w:firstLine="720"/>
    </w:pPr>
    <w:rPr>
      <w:rFonts w:ascii="Arial" w:eastAsia="Arial" w:hAnsi="Arial" w:cs="Arial"/>
      <w:lang w:eastAsia="zh-CN"/>
    </w:rPr>
  </w:style>
  <w:style w:type="paragraph" w:customStyle="1" w:styleId="ConsPlusNormal">
    <w:name w:val="ConsPlusNormal"/>
    <w:rPr>
      <w:rFonts w:ascii="Arial, sans-serif" w:eastAsia="Arial, sans-serif" w:hAnsi="Arial, sans-serif" w:cs="Arial, sans-serif"/>
      <w:lang w:eastAsia="zh-CN" w:bidi="hi-IN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1mogxd">
    <w:name w:val="_1mogxd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1">
    <w:name w:val="Абзац списка Знак"/>
    <w:basedOn w:val="a0"/>
    <w:link w:val="afff0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f7">
    <w:name w:val="Символ сноски"/>
    <w:qFormat/>
  </w:style>
  <w:style w:type="paragraph" w:customStyle="1" w:styleId="StGen0">
    <w:name w:val="StGen0"/>
    <w:basedOn w:val="a"/>
    <w:next w:val="a6"/>
    <w:link w:val="afff8"/>
    <w:qFormat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fff8">
    <w:name w:val="Название Знак"/>
    <w:link w:val="StGen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?>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s://catalog.lot-online.ru/index.php?dispatch=rad_attachment.getfile&amp;attachment_id=2726853&amp;inline=true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consultantplus://offline/ref=F7230824660DDAF21EA5278C4DCCB0A40193D634DF0E96603E596081FDDC91BD2741A80EA823229569EDE85C7Fl1C8U" TargetMode="External"/><Relationship Id="rId47" Type="http://schemas.openxmlformats.org/officeDocument/2006/relationships/fontTable" Target="fontTable.xml"/><Relationship Id="rId55" Type="http://schemas.onlyoffice.com/commentsExtendedDocument" Target="commentsExtended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" TargetMode="External"/><Relationship Id="rId45" Type="http://schemas.openxmlformats.org/officeDocument/2006/relationships/hyperlink" Target="http://www.lot-online.ru/" TargetMode="External"/><Relationship Id="rId58" Type="http://schemas.onlyoffice.com/peopleDocument" Target="peopleDocument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lot-online.ru/static/ecp_list.html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consultantplus://offline/main?base=LAW;n=72518;fld=134" TargetMode="External"/><Relationship Id="rId30" Type="http://schemas.openxmlformats.org/officeDocument/2006/relationships/hyperlink" Target="http://www.lot-online.ru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auction-house.ru/" TargetMode="External"/><Relationship Id="rId48" Type="http://schemas.openxmlformats.org/officeDocument/2006/relationships/theme" Target="theme/theme1.xml"/><Relationship Id="rId56" Type="http://schemas.onlyoffice.com/commentsExtensibleDocument" Target="commentsExtensibleDocument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54" Type="http://schemas.onlyoffice.com/commentsDocument" Target="comment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consultantplus://offline/main?base=LAW;n=72518;fld=134" TargetMode="External"/><Relationship Id="rId36" Type="http://schemas.openxmlformats.org/officeDocument/2006/relationships/hyperlink" Target="http://www.lot-online.ru/" TargetMode="External"/><Relationship Id="rId57" Type="http://schemas.onlyoffice.com/commentsIdsDocument" Target="commentsIdsDocument.xml"/></Relationships>
</file>

<file path=word/_rels/footnotes.xml.rels><?xml version="1.0" encoding="UTF-8"?><Relationships xmlns="http://schemas.openxmlformats.org/package/2006/relationships"><Relationship Id="rId1" Type="http://schemas.openxmlformats.org/officeDocument/2006/relationships/hyperlink" Target="consultantplus://offline/ref=F7230824660DDAF21EA5398249CCB0A40399D533DB0B96603E596081FDDC91BD2741A80EA823229569EDE85C7Fl1C8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92A2B-5C99-4EDD-8A80-E45F4AEF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11752</Words>
  <Characters>66993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Tatyana Tatyana</cp:lastModifiedBy>
  <cp:revision>13</cp:revision>
  <dcterms:created xsi:type="dcterms:W3CDTF">2026-05-14T13:44:00Z</dcterms:created>
  <dcterms:modified xsi:type="dcterms:W3CDTF">2026-05-18T14:07:00Z</dcterms:modified>
  <dc:language>ru-RU</dc:language>
</cp:coreProperties>
</file>