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59C1" w14:textId="77777777" w:rsidR="00FD5F23" w:rsidRDefault="00CB656B">
      <w:pPr>
        <w:pStyle w:val="1a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5396FB1B" w14:textId="77777777" w:rsidR="00FD5F23" w:rsidRDefault="00CB656B">
      <w:pPr>
        <w:ind w:right="-57"/>
        <w:jc w:val="right"/>
      </w:pPr>
      <w:r>
        <w:rPr>
          <w:sz w:val="22"/>
          <w:szCs w:val="22"/>
        </w:rPr>
        <w:t>к Оферте</w:t>
      </w:r>
    </w:p>
    <w:p w14:paraId="622C2B46" w14:textId="77777777" w:rsidR="00FD5F23" w:rsidRDefault="00CB656B">
      <w:pPr>
        <w:pStyle w:val="1a"/>
      </w:pPr>
      <w:r>
        <w:rPr>
          <w:sz w:val="24"/>
          <w:szCs w:val="24"/>
        </w:rPr>
        <w:t>Договор о задатке №____</w:t>
      </w:r>
    </w:p>
    <w:p w14:paraId="53850EEB" w14:textId="77777777" w:rsidR="00FD5F23" w:rsidRDefault="00CB656B">
      <w:pPr>
        <w:pStyle w:val="1a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29A3C31" w14:textId="77777777" w:rsidR="00FD5F23" w:rsidRDefault="00FD5F23">
      <w:pPr>
        <w:pStyle w:val="1a"/>
        <w:rPr>
          <w:b w:val="0"/>
          <w:bCs w:val="0"/>
          <w:spacing w:val="30"/>
          <w:sz w:val="24"/>
          <w:szCs w:val="24"/>
        </w:rPr>
      </w:pPr>
    </w:p>
    <w:p w14:paraId="6203F013" w14:textId="77777777" w:rsidR="00FD5F23" w:rsidRDefault="00CB656B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</w:t>
      </w:r>
      <w:r>
        <w:rPr>
          <w:sz w:val="22"/>
          <w:szCs w:val="22"/>
        </w:rPr>
        <w:t xml:space="preserve">Заместителя генерального директора </w:t>
      </w:r>
      <w:proofErr w:type="spellStart"/>
      <w:r>
        <w:rPr>
          <w:sz w:val="22"/>
          <w:szCs w:val="22"/>
        </w:rPr>
        <w:t>Канцеровой</w:t>
      </w:r>
      <w:proofErr w:type="spellEnd"/>
      <w:r>
        <w:rPr>
          <w:sz w:val="22"/>
          <w:szCs w:val="22"/>
        </w:rPr>
        <w:t xml:space="preserve"> Елены Владимировны, действующей на основании Доверенности от 01.01.2026 № Д-003 </w:t>
      </w:r>
      <w:r>
        <w:t>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>______________________________________________________________________________</w:t>
      </w:r>
      <w:r>
        <w:t xml:space="preserve">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</w:t>
      </w:r>
      <w:r>
        <w:t>роны», в соответствии с требованиями ст.ст.380, 381, 428 ГК РФ, заключили настоящий Договор (далее – Договор) о нижеследующем:</w:t>
      </w:r>
    </w:p>
    <w:p w14:paraId="4C1E05A8" w14:textId="77777777" w:rsidR="00FD5F23" w:rsidRDefault="00CB656B">
      <w:pPr>
        <w:numPr>
          <w:ilvl w:val="0"/>
          <w:numId w:val="4"/>
        </w:numPr>
        <w:jc w:val="both"/>
      </w:pPr>
      <w:r>
        <w:t xml:space="preserve">В соответствии с условиями настоящего Договора Претендент для участия в торгах в форме аукциона, открытого по составу участников </w:t>
      </w:r>
      <w:r>
        <w:t>и открытого по форме подачи предложений по цене с применением метода повышения начальной цены («английский аукцион») по продаже принадлежащих Обществу с ограниченной ответственностью ГСИ Волгоградская фирма «</w:t>
      </w:r>
      <w:proofErr w:type="spellStart"/>
      <w:r>
        <w:t>Нефтезаводмонтаж</w:t>
      </w:r>
      <w:proofErr w:type="spellEnd"/>
      <w:r>
        <w:t>» (далее – Объекты):</w:t>
      </w:r>
    </w:p>
    <w:p w14:paraId="36CBE86E" w14:textId="77777777" w:rsidR="00FD5F23" w:rsidRDefault="00CB656B">
      <w:pPr>
        <w:ind w:right="60" w:firstLine="708"/>
        <w:jc w:val="both"/>
      </w:pPr>
      <w:r>
        <w:rPr>
          <w:bCs/>
        </w:rPr>
        <w:t>Здание с ка</w:t>
      </w:r>
      <w:r>
        <w:rPr>
          <w:bCs/>
        </w:rPr>
        <w:t>дастровым номером 34:34:080139:138, количество этажей: 1, в том числе подземных этажей: 0, адрес: Волгоградская область, г. Волгоград, проезд Бетонный, д. 3, площадью 584 кв.м., назначение: нежилое, наименование: гараж для кранов, право собственности зарег</w:t>
      </w:r>
      <w:r>
        <w:rPr>
          <w:bCs/>
        </w:rPr>
        <w:t>истрировано 01.12.2017 за № 34:34:080139:138-34/001/2017-1 (далее – Объект 1).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34:34:080139:139, количество этажей: 2, в том числе подземных этаже</w:t>
      </w:r>
      <w:r>
        <w:rPr>
          <w:bCs/>
        </w:rPr>
        <w:t>й: 0, адрес: Волгоградская область, г. Волгоград, проезд Бетонный, д. 3, площадью 55 кв.м., назначение: нежилое, наименование: кабинет предрейсовых осмотров, право собственности зарегистрировано 01.12.2017 за № 34:34:080139:139-34/001/2017-1 (далее – Объек</w:t>
      </w:r>
      <w:r>
        <w:rPr>
          <w:bCs/>
        </w:rPr>
        <w:t>т 2).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 xml:space="preserve">Здание с кадастровым номером 34:34:080139:141, количество этажей: 1, в том числе подземных этажей: 0, адрес: Волгоградская область, г. Волгоград, проезд Бетонный, д. 3, </w:t>
      </w:r>
      <w:r>
        <w:rPr>
          <w:bCs/>
        </w:rPr>
        <w:t>площадью 38.6 кв.м., назначение: нежилое, наименование: диспетчерская, право собственности зарегистрирована 01.12.2017 за № 34:34:080139:141-34/001/2017-1 (далее – Объект 3).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</w:r>
      <w:r>
        <w:rPr>
          <w:bCs/>
        </w:rPr>
        <w:t>Здание с кадастровым номером 34:34:080139:490, количество этажей: 2, в том числе подземных этажей: 0, адрес: Волгоградская область, г. Волгоград, проезд Бетонный, д. 3, площадью 470.3 кв.м., назначение: нежилое, наименование: административно-бытовой корпус</w:t>
      </w:r>
      <w:r>
        <w:rPr>
          <w:bCs/>
        </w:rPr>
        <w:t>, право собственности зарегистрировано 07.12.2017 за № 34:34:080139:490-34/001/2017-1 (далее – Объект 4).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 xml:space="preserve">Здание с кадастровым номером 34:34:080139:491, количество этажей: 1, </w:t>
      </w:r>
      <w:r>
        <w:rPr>
          <w:bCs/>
        </w:rPr>
        <w:t>в том числе подземных этажей: 0, адрес: Волгоградская область, г. Волгоград, проезд Бетонный, д. 3, площадью 880.8 кв.м., назначение: нежилое, наименование: цех ремонта тяжелой техники, право собственности зарегистрировано 06.12.2017 за № 34:34:080139:491-</w:t>
      </w:r>
      <w:r>
        <w:rPr>
          <w:bCs/>
        </w:rPr>
        <w:t>34/001/2017-1 (далее – Объект 5).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34:34:080139:492, количество этажей: 1, в том числе подземных этажей: 0, адрес: Волгоградская область, г. Волгог</w:t>
      </w:r>
      <w:r>
        <w:rPr>
          <w:bCs/>
        </w:rPr>
        <w:t>рад, проезд Бетонный, д. 3, площадью 56.2 кв.м., назначение: нежилое, наименование: гараж, право собственности зарегистрировано 06.12.2017 за № 34:34:080139:492-34/001/2017-1 (далее – Объект 6).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</w:t>
      </w:r>
      <w:r>
        <w:rPr>
          <w:bCs/>
        </w:rPr>
        <w:t xml:space="preserve"> зарегистрированы.</w:t>
      </w:r>
    </w:p>
    <w:p w14:paraId="47A09B1A" w14:textId="49D862C0" w:rsidR="00FD5F23" w:rsidRDefault="00CB656B">
      <w:pPr>
        <w:ind w:right="60" w:firstLine="708"/>
        <w:jc w:val="both"/>
      </w:pPr>
      <w:r>
        <w:rPr>
          <w:bCs/>
        </w:rPr>
        <w:t>Здание с кадастровым номером 34:34:080139:493, количество этажей: 1, в том числе подземных этажей: 0, адрес: Волгоградская область, г. Волгоград, проезд Бетонный, д. 3, площадью 381.8 кв.м., назначение: нежилое, наименование: цех механич</w:t>
      </w:r>
      <w:r>
        <w:rPr>
          <w:bCs/>
        </w:rPr>
        <w:t xml:space="preserve">еских мастерских, право собственности зарегистрировано 06.12.2017 за № 34:34:080139:493-34/001/2017-1 (далее – Объект </w:t>
      </w:r>
      <w:r>
        <w:rPr>
          <w:bCs/>
        </w:rPr>
        <w:lastRenderedPageBreak/>
        <w:t>7).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34:34:080139:494, количе</w:t>
      </w:r>
      <w:r>
        <w:rPr>
          <w:bCs/>
        </w:rPr>
        <w:t>ство этажей: 1, в том числе подземных этажей: 0, адрес: Волгоградская область, г. Волгоград, проезд Бетонный, д. 3, площадью 60.4 кв.м., назначение: нежилое, наименование: аккумуляторная, право собственности зарегистрировано 06.12.2017 за № 34:34:080139:49</w:t>
      </w:r>
      <w:r>
        <w:rPr>
          <w:bCs/>
        </w:rPr>
        <w:t>4-34/001/2017-1 (далее – Объект 8).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34:34:080139:495, количество этажей: 1, в том числе подземных этажей: 0, адрес: Волгоградская область, г. Волг</w:t>
      </w:r>
      <w:r>
        <w:rPr>
          <w:bCs/>
        </w:rPr>
        <w:t>оград, проезд Бетонный, д. 3, площадью 144.6 кв.м., назначение: нежилое, наименование: гараж для легковых автомобилей, право собственности зарегистрировано 06.12.2017 за № 34:34:080139:495-34/001/2017-1 (далее – Объект 9).</w:t>
      </w:r>
      <w:r>
        <w:rPr>
          <w:bCs/>
        </w:rPr>
        <w:br/>
      </w:r>
      <w:r>
        <w:rPr>
          <w:bCs/>
        </w:rPr>
        <w:tab/>
        <w:t>Ограничения (обременения) в соот</w:t>
      </w:r>
      <w:r>
        <w:rPr>
          <w:bCs/>
        </w:rPr>
        <w:t>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34:34:080139:496, количество этажей: 1, в том числе подземных этажей: 0, адрес: Волгоградская область, г. Волгоград, проезд Бетонный, д. 3, площадью 494.4 кв.м., назначение: нежил</w:t>
      </w:r>
      <w:r>
        <w:rPr>
          <w:bCs/>
        </w:rPr>
        <w:t>ое, наименование: склад, право собственности зарегистрировано 06.12.2017 за № 34:34:080139:496-34/001/2017-1 (далее – Объект 10).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34:34:080139:497</w:t>
      </w:r>
      <w:r>
        <w:rPr>
          <w:bCs/>
        </w:rPr>
        <w:t>, количество этажей: 1, в том числе подземных этажей: 0, адрес: Волгоградская область, г. Волгоград, проезд Бетонный, д. 3, площадью 233.4 кв.м., назначение: нежилое, наименование: бытовой корпус, право собственности зарегистрировано 07.12.2017 за № 34:34:</w:t>
      </w:r>
      <w:r>
        <w:rPr>
          <w:bCs/>
        </w:rPr>
        <w:t>080139:497-34/001/2017-1 (далее – Объект 11).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34:34:080139:498, количество этажей: 1, в том числе подземных этажей: 0, адрес: Волгоградская област</w:t>
      </w:r>
      <w:r>
        <w:rPr>
          <w:bCs/>
        </w:rPr>
        <w:t>ь, г. Волгоград, проезд Бетонный, д. 3, площадью 480.4 кв.м., назначение: нежилое, наименование: цех ремонта автотранспорта, право собственности зарегистрировано 06.12.2017 за № 34:34:080139:498-34/001/2017-1 (далее – Объект 12).</w:t>
      </w:r>
      <w:r>
        <w:rPr>
          <w:bCs/>
        </w:rPr>
        <w:br/>
      </w:r>
      <w:r>
        <w:rPr>
          <w:bCs/>
        </w:rPr>
        <w:tab/>
        <w:t>Ограничения (обременения)</w:t>
      </w:r>
      <w:r>
        <w:rPr>
          <w:bCs/>
        </w:rPr>
        <w:t xml:space="preserve">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Здание с кадастровым номером 34:34:080139:499, количество этажей: 1, в том числе подземных этажей: 0, адрес: Волгоградская область, г. Волгоград, проезд Бетонный, д. 3, площадью 486.3 кв.м., назначение</w:t>
      </w:r>
      <w:r>
        <w:rPr>
          <w:bCs/>
        </w:rPr>
        <w:t>: нежилое, наименование: цех розлива с вспомогательными помещениями, право собственности зарегистрировано 07.12.2017 за № 34:34:080139:499-34/001/2017-1 (далее – Объект 13).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З</w:t>
      </w:r>
      <w:r>
        <w:rPr>
          <w:bCs/>
        </w:rPr>
        <w:t>дание с кадастровым номером 34:34:080139:500, количество этажей: 1, в том числе подземных этажей: 0, адрес: Волгоградская область, г. Волгоград, проезд Бетонный, д. 3, площадью 340 кв.м., назначение: нежилое, наименование: цех твердого полиэтилена с вспомо</w:t>
      </w:r>
      <w:r>
        <w:rPr>
          <w:bCs/>
        </w:rPr>
        <w:t>гательными помещениями, право собственности зарегистрировано 07.12.2017 за № 34:34:080139:500-34/001/2017-1 (далее – Объект 14).</w:t>
      </w:r>
      <w:r>
        <w:rPr>
          <w:bCs/>
        </w:rPr>
        <w:br/>
      </w:r>
      <w:r>
        <w:rPr>
          <w:bCs/>
        </w:rPr>
        <w:tab/>
        <w:t>Ограничения (обременения) в соответствии с выпиской ЕГРН: не зарегистрированы.</w:t>
      </w:r>
      <w:r>
        <w:rPr>
          <w:bCs/>
        </w:rPr>
        <w:br/>
      </w:r>
      <w:r>
        <w:rPr>
          <w:bCs/>
        </w:rPr>
        <w:tab/>
        <w:t>Движимое имущество, указанное в приложении</w:t>
      </w:r>
      <w:r>
        <w:rPr>
          <w:bCs/>
        </w:rPr>
        <w:t xml:space="preserve"> к информационному сообщению</w:t>
      </w:r>
      <w:r>
        <w:rPr>
          <w:bCs/>
        </w:rPr>
        <w:t>, в количестве 56 позиций (далее – Объект 15).</w:t>
      </w:r>
    </w:p>
    <w:p w14:paraId="627CE7C4" w14:textId="01461A15" w:rsidR="00FD5F23" w:rsidRDefault="00CB656B" w:rsidP="00B77B4A">
      <w:pPr>
        <w:ind w:right="60" w:firstLine="708"/>
        <w:jc w:val="both"/>
        <w:rPr>
          <w:bCs/>
          <w:sz w:val="22"/>
          <w:szCs w:val="22"/>
        </w:rPr>
      </w:pPr>
      <w:r>
        <w:rPr>
          <w:bCs/>
        </w:rPr>
        <w:br/>
      </w:r>
      <w:r>
        <w:rPr>
          <w:bCs/>
        </w:rPr>
        <w:tab/>
        <w:t>Объекты 1-15 располагаются в пределах земельного участка с кадастровым номером 34:34:080139:482, категория земель, к которой отнесен земельный уча</w:t>
      </w:r>
      <w:r>
        <w:rPr>
          <w:bCs/>
        </w:rPr>
        <w:t>сток: Земли населенных пунктов, адрес: Волгоградская область, г. Волгоград, район Красноармейский, площадью 16395 +/- 45 кв.м, виды разрешенного использования: для эксплуатации автоколонны, принадлежащего Продавцу на праве аренды сроком с 19.07.1996 по 19.</w:t>
      </w:r>
      <w:r>
        <w:rPr>
          <w:bCs/>
        </w:rPr>
        <w:t>07.2045.</w:t>
      </w:r>
      <w:r>
        <w:rPr>
          <w:bCs/>
        </w:rPr>
        <w:br/>
      </w:r>
    </w:p>
    <w:p w14:paraId="6CD43161" w14:textId="77777777" w:rsidR="00FD5F23" w:rsidRDefault="00CB656B">
      <w:pPr>
        <w:pStyle w:val="affd"/>
        <w:ind w:firstLine="708"/>
      </w:pPr>
      <w:r>
        <w:t xml:space="preserve">перечисляет денежные средства </w:t>
      </w:r>
      <w:r>
        <w:rPr>
          <w:b/>
        </w:rPr>
        <w:t xml:space="preserve">в размере </w:t>
      </w:r>
      <w:r>
        <w:rPr>
          <w:b/>
          <w:bCs/>
          <w:highlight w:val="white"/>
        </w:rPr>
        <w:t>4 500 000 (четыре миллиона пятьсот тысяч) рублей 00 коп.</w:t>
      </w:r>
    </w:p>
    <w:p w14:paraId="237734A6" w14:textId="77777777" w:rsidR="00FD5F23" w:rsidRDefault="00FD5F23">
      <w:pPr>
        <w:ind w:right="-1" w:firstLine="709"/>
        <w:jc w:val="both"/>
        <w:rPr>
          <w:b/>
          <w:bCs/>
        </w:rPr>
      </w:pPr>
    </w:p>
    <w:p w14:paraId="2F2B990D" w14:textId="77777777" w:rsidR="00FD5F23" w:rsidRDefault="00CB656B">
      <w:pPr>
        <w:ind w:right="-57" w:firstLine="567"/>
        <w:jc w:val="both"/>
        <w:rPr>
          <w:b/>
        </w:rPr>
      </w:pPr>
      <w:r>
        <w:t>(далее – «Задаток») на расчетный счет Оператора электронной площадки:</w:t>
      </w:r>
      <w:r>
        <w:rPr>
          <w:bCs/>
          <w:shd w:val="clear" w:color="auto" w:fill="FFFFFF"/>
        </w:rPr>
        <w:t xml:space="preserve"> </w:t>
      </w:r>
    </w:p>
    <w:p w14:paraId="369B4BE9" w14:textId="77777777" w:rsidR="00FD5F23" w:rsidRDefault="00CB656B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</w:t>
      </w:r>
      <w:r>
        <w:rPr>
          <w:b/>
          <w:bCs/>
        </w:rPr>
        <w:t>сийский аукционный дом» (ИНН 7838430413, КПП 783801001):</w:t>
      </w:r>
    </w:p>
    <w:p w14:paraId="7EBBE85B" w14:textId="77777777" w:rsidR="00FD5F23" w:rsidRDefault="00CB656B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09CDEC8A" w14:textId="77777777" w:rsidR="00FD5F23" w:rsidRDefault="00CB656B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BF818D0" w14:textId="77777777" w:rsidR="00FD5F23" w:rsidRDefault="00CB656B">
      <w:pPr>
        <w:ind w:firstLine="567"/>
        <w:jc w:val="both"/>
      </w:pPr>
      <w:r>
        <w:lastRenderedPageBreak/>
        <w:t xml:space="preserve">2. Задаток должен быть внесен Претендентом не позднее даты, указанной в сообщении о продаже </w:t>
      </w:r>
      <w:r>
        <w:rPr>
          <w:bCs/>
        </w:rPr>
        <w:t>Доли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Cs/>
        </w:rPr>
        <w:t>Доли</w:t>
      </w:r>
      <w:r>
        <w:t>. Задаток считается внесенным с даты поступления всей суммы Задатка на указанный счет.</w:t>
      </w:r>
    </w:p>
    <w:p w14:paraId="37DCC39F" w14:textId="77777777" w:rsidR="00FD5F23" w:rsidRDefault="00CB656B">
      <w:pPr>
        <w:ind w:firstLine="567"/>
        <w:jc w:val="both"/>
      </w:pPr>
      <w: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</w:t>
      </w:r>
      <w:r>
        <w:rPr>
          <w:b/>
        </w:rPr>
        <w:t xml:space="preserve"> </w:t>
      </w:r>
      <w:r>
        <w:rPr>
          <w:bCs/>
        </w:rPr>
        <w:t>Доли</w:t>
      </w:r>
      <w:r>
        <w:t xml:space="preserve">, Претендент </w:t>
      </w:r>
      <w:r>
        <w:t>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B497F5B" w14:textId="77777777" w:rsidR="00FD5F23" w:rsidRDefault="00CB656B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</w:t>
      </w:r>
      <w:r>
        <w:t xml:space="preserve">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</w:t>
      </w:r>
      <w:r>
        <w:t>акцептом размещенного на электронной площадке договора о задатке).</w:t>
      </w:r>
    </w:p>
    <w:p w14:paraId="3DA7A2AC" w14:textId="77777777" w:rsidR="00FD5F23" w:rsidRDefault="00CB656B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Cs/>
        </w:rPr>
        <w:t>Доли</w:t>
      </w:r>
      <w:r>
        <w:t>, определенной по итогам торгов, и исполнения иных обяза</w:t>
      </w:r>
      <w:r>
        <w:t>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63186771" w14:textId="77777777" w:rsidR="00FD5F23" w:rsidRDefault="00CB656B">
      <w:pPr>
        <w:ind w:firstLine="567"/>
        <w:jc w:val="both"/>
      </w:pPr>
      <w:r>
        <w:t xml:space="preserve">4. </w:t>
      </w:r>
      <w:bookmarkStart w:id="0" w:name="_Hlk114831194"/>
      <w:r>
        <w:t>В платежном документе в графе «назначение платежа» должна содержаться информация: «№ л/с _____</w:t>
      </w:r>
      <w:r>
        <w:t>_______Средства для проведения операций по обеспечению участия в электронных процедурах. НДС не облагается».</w:t>
      </w:r>
      <w:bookmarkEnd w:id="0"/>
    </w:p>
    <w:p w14:paraId="3A45346A" w14:textId="77777777" w:rsidR="00FD5F23" w:rsidRDefault="00CB656B">
      <w:pPr>
        <w:ind w:firstLine="567"/>
        <w:jc w:val="both"/>
      </w:pPr>
      <w:r>
        <w:t>5. Исполнение обязанности по внесению суммы задатка третьими лицами не допускается.</w:t>
      </w:r>
    </w:p>
    <w:p w14:paraId="0BF8A299" w14:textId="77777777" w:rsidR="00FD5F23" w:rsidRDefault="00CB656B">
      <w:pPr>
        <w:ind w:firstLine="567"/>
        <w:jc w:val="both"/>
      </w:pPr>
      <w:r>
        <w:t>6. Сроки и порядок возврата суммы задатка, внесенного Претенден</w:t>
      </w:r>
      <w:r>
        <w:t xml:space="preserve">том на счет </w:t>
      </w:r>
      <w:proofErr w:type="gramStart"/>
      <w:r>
        <w:t>Оператора электронной площадки</w:t>
      </w:r>
      <w:proofErr w:type="gramEnd"/>
      <w: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</w:t>
      </w:r>
      <w:r>
        <w:rPr>
          <w:bCs/>
        </w:rPr>
        <w:t>Доли</w:t>
      </w:r>
      <w:r>
        <w:t xml:space="preserve"> в ходе процедур, применяемых в д</w:t>
      </w:r>
      <w:r>
        <w:t>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5C82841F" w14:textId="77777777" w:rsidR="00FD5F23" w:rsidRDefault="00CB656B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</w:t>
      </w:r>
      <w:r>
        <w:t xml:space="preserve">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613907A" w14:textId="77777777" w:rsidR="00FD5F23" w:rsidRDefault="00CB656B">
      <w:pPr>
        <w:ind w:firstLine="567"/>
        <w:jc w:val="both"/>
      </w:pPr>
      <w:r>
        <w:t>8. Все возможные споры и разногласия, связанн</w:t>
      </w:r>
      <w:r>
        <w:t>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</w:t>
      </w:r>
      <w:r>
        <w:t>тенцией по месту нахождения Оператора электронной площадки.</w:t>
      </w:r>
    </w:p>
    <w:p w14:paraId="079A4B6D" w14:textId="77777777" w:rsidR="00FD5F23" w:rsidRDefault="00CB656B">
      <w:pPr>
        <w:ind w:firstLine="567"/>
        <w:jc w:val="both"/>
      </w:pPr>
      <w:r>
        <w:t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</w:t>
      </w:r>
      <w:r>
        <w:t xml:space="preserve">ми договора, подлежащего заключению по итогам торгов. </w:t>
      </w:r>
    </w:p>
    <w:p w14:paraId="454C436E" w14:textId="77777777" w:rsidR="00FD5F23" w:rsidRDefault="00FD5F23">
      <w:pPr>
        <w:jc w:val="both"/>
      </w:pPr>
    </w:p>
    <w:p w14:paraId="19C39A98" w14:textId="77777777" w:rsidR="00FD5F23" w:rsidRDefault="00CB656B">
      <w:pPr>
        <w:ind w:firstLine="284"/>
        <w:jc w:val="center"/>
      </w:pPr>
      <w:r>
        <w:rPr>
          <w:b/>
          <w:bCs/>
        </w:rPr>
        <w:t>Реквизиты сторон:</w:t>
      </w:r>
    </w:p>
    <w:p w14:paraId="000E8593" w14:textId="77777777" w:rsidR="00FD5F23" w:rsidRDefault="00FD5F23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FD5F23" w14:paraId="224066BC" w14:textId="77777777">
        <w:trPr>
          <w:trHeight w:val="3059"/>
        </w:trPr>
        <w:tc>
          <w:tcPr>
            <w:tcW w:w="4786" w:type="dxa"/>
          </w:tcPr>
          <w:p w14:paraId="48270F66" w14:textId="77777777" w:rsidR="00FD5F23" w:rsidRDefault="00CB656B">
            <w:r>
              <w:rPr>
                <w:b/>
                <w:bCs/>
              </w:rPr>
              <w:t>Оператор электронной площадки:</w:t>
            </w:r>
          </w:p>
          <w:p w14:paraId="1D86A256" w14:textId="77777777" w:rsidR="00FD5F23" w:rsidRDefault="00CB656B">
            <w:r>
              <w:rPr>
                <w:b/>
              </w:rPr>
              <w:t>Акционерное общество</w:t>
            </w:r>
          </w:p>
          <w:p w14:paraId="510E7C08" w14:textId="77777777" w:rsidR="00FD5F23" w:rsidRDefault="00CB656B">
            <w:r>
              <w:rPr>
                <w:b/>
              </w:rPr>
              <w:t>«Российский аукционный дом»</w:t>
            </w:r>
          </w:p>
          <w:p w14:paraId="33B920FD" w14:textId="77777777" w:rsidR="00FD5F23" w:rsidRDefault="00FD5F23">
            <w:pPr>
              <w:rPr>
                <w:b/>
              </w:rPr>
            </w:pPr>
          </w:p>
          <w:p w14:paraId="60335AD5" w14:textId="77777777" w:rsidR="00FD5F23" w:rsidRDefault="00CB656B">
            <w:r>
              <w:t>Адрес для корреспонденции:</w:t>
            </w:r>
          </w:p>
          <w:p w14:paraId="2D307DD0" w14:textId="77777777" w:rsidR="00FD5F23" w:rsidRDefault="00CB656B">
            <w:r>
              <w:t>190000 Санкт-Петербург,</w:t>
            </w:r>
          </w:p>
          <w:p w14:paraId="385765A3" w14:textId="77777777" w:rsidR="00FD5F23" w:rsidRDefault="00CB656B">
            <w:r>
              <w:t xml:space="preserve">пер. </w:t>
            </w:r>
            <w:proofErr w:type="spellStart"/>
            <w:r>
              <w:t>Гривцова</w:t>
            </w:r>
            <w:proofErr w:type="spellEnd"/>
            <w:r>
              <w:t>, д.5, лит. В</w:t>
            </w:r>
          </w:p>
          <w:p w14:paraId="0BE2E639" w14:textId="77777777" w:rsidR="00FD5F23" w:rsidRDefault="00CB656B">
            <w:r>
              <w:t>тел. 8 (800) 777-57-57</w:t>
            </w:r>
          </w:p>
          <w:p w14:paraId="1AA6E18A" w14:textId="77777777" w:rsidR="00FD5F23" w:rsidRDefault="00FD5F23">
            <w:pPr>
              <w:jc w:val="center"/>
            </w:pPr>
          </w:p>
          <w:p w14:paraId="0F2733E4" w14:textId="77777777" w:rsidR="00FD5F23" w:rsidRDefault="00CB656B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6DFE739D" w14:textId="77777777" w:rsidR="00FD5F23" w:rsidRDefault="00CB656B">
            <w:pPr>
              <w:tabs>
                <w:tab w:val="left" w:pos="1580"/>
              </w:tabs>
            </w:pPr>
            <w:r>
              <w:t>р/с № 40702810355000036459</w:t>
            </w:r>
          </w:p>
          <w:p w14:paraId="55A63A4E" w14:textId="77777777" w:rsidR="00FD5F23" w:rsidRDefault="00CB656B">
            <w:pPr>
              <w:tabs>
                <w:tab w:val="left" w:pos="1580"/>
              </w:tabs>
            </w:pPr>
            <w:r>
              <w:lastRenderedPageBreak/>
              <w:t>СЕВЕРО-ЗАПАДНЫЙ БАНК ПАО СБЕРБАНК</w:t>
            </w:r>
          </w:p>
          <w:p w14:paraId="6517AE4E" w14:textId="77777777" w:rsidR="00FD5F23" w:rsidRDefault="00CB656B">
            <w:pPr>
              <w:tabs>
                <w:tab w:val="left" w:pos="1580"/>
              </w:tabs>
            </w:pPr>
            <w:r>
              <w:t>БИК 044030653</w:t>
            </w:r>
          </w:p>
          <w:p w14:paraId="5886DCB9" w14:textId="77777777" w:rsidR="00FD5F23" w:rsidRDefault="00CB656B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48CE7EBF" w14:textId="77777777" w:rsidR="00FD5F23" w:rsidRDefault="00FD5F23">
            <w:pPr>
              <w:ind w:firstLine="284"/>
              <w:jc w:val="both"/>
            </w:pPr>
          </w:p>
        </w:tc>
        <w:tc>
          <w:tcPr>
            <w:tcW w:w="4274" w:type="dxa"/>
          </w:tcPr>
          <w:p w14:paraId="34E1418D" w14:textId="77777777" w:rsidR="00FD5F23" w:rsidRDefault="00CB656B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409C81BC" w14:textId="77777777" w:rsidR="00FD5F23" w:rsidRDefault="00CB656B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4F29D606" w14:textId="77777777" w:rsidR="00FD5F23" w:rsidRDefault="00CB656B">
            <w:pPr>
              <w:jc w:val="both"/>
            </w:pPr>
            <w:r>
              <w:t>_________________________________</w:t>
            </w:r>
          </w:p>
          <w:p w14:paraId="13047E06" w14:textId="77777777" w:rsidR="00FD5F23" w:rsidRDefault="00CB656B">
            <w:pPr>
              <w:jc w:val="both"/>
            </w:pPr>
            <w:r>
              <w:t>_________________________________</w:t>
            </w:r>
          </w:p>
          <w:p w14:paraId="2E63577D" w14:textId="77777777" w:rsidR="00FD5F23" w:rsidRDefault="00CB656B">
            <w:pPr>
              <w:jc w:val="both"/>
            </w:pPr>
            <w:r>
              <w:t>_________________________________</w:t>
            </w:r>
          </w:p>
          <w:p w14:paraId="34202FCD" w14:textId="77777777" w:rsidR="00FD5F23" w:rsidRDefault="00CB656B">
            <w:pPr>
              <w:jc w:val="both"/>
            </w:pPr>
            <w:r>
              <w:t>_________________________________</w:t>
            </w:r>
          </w:p>
          <w:p w14:paraId="51D699B2" w14:textId="77777777" w:rsidR="00FD5F23" w:rsidRDefault="00CB656B">
            <w:pPr>
              <w:jc w:val="both"/>
            </w:pPr>
            <w:r>
              <w:t>_________________________________</w:t>
            </w:r>
          </w:p>
          <w:p w14:paraId="30D333C8" w14:textId="77777777" w:rsidR="00FD5F23" w:rsidRDefault="00CB656B">
            <w:pPr>
              <w:jc w:val="both"/>
            </w:pPr>
            <w:r>
              <w:t>_________________________________</w:t>
            </w:r>
          </w:p>
          <w:p w14:paraId="31764BA2" w14:textId="77777777" w:rsidR="00FD5F23" w:rsidRDefault="00FD5F23">
            <w:pPr>
              <w:jc w:val="both"/>
            </w:pPr>
          </w:p>
        </w:tc>
      </w:tr>
    </w:tbl>
    <w:p w14:paraId="1BB20ED2" w14:textId="77777777" w:rsidR="00FD5F23" w:rsidRDefault="00CB656B">
      <w:pPr>
        <w:ind w:firstLine="284"/>
        <w:jc w:val="both"/>
      </w:pPr>
      <w:r>
        <w:rPr>
          <w:b/>
          <w:bCs/>
        </w:rPr>
        <w:t xml:space="preserve">        </w:t>
      </w:r>
    </w:p>
    <w:p w14:paraId="18EF3D92" w14:textId="77777777" w:rsidR="00FD5F23" w:rsidRDefault="00CB656B">
      <w:pPr>
        <w:jc w:val="both"/>
      </w:pPr>
      <w:r>
        <w:rPr>
          <w:b/>
          <w:bCs/>
        </w:rPr>
        <w:t>От Оператора электронной площадки</w:t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2D19D51E" w14:textId="77777777" w:rsidR="00FD5F23" w:rsidRDefault="00CB656B">
      <w:r>
        <w:t xml:space="preserve">_____________________/ Е.В. </w:t>
      </w:r>
      <w:proofErr w:type="spellStart"/>
      <w:r>
        <w:t>Канцерова</w:t>
      </w:r>
      <w:proofErr w:type="spellEnd"/>
      <w:r>
        <w:t>/</w:t>
      </w:r>
      <w:r>
        <w:tab/>
        <w:t xml:space="preserve">            _______________________/_________</w:t>
      </w:r>
    </w:p>
    <w:p w14:paraId="5311B9E3" w14:textId="77777777" w:rsidR="00FD5F23" w:rsidRDefault="00FD5F23"/>
    <w:p w14:paraId="6A151912" w14:textId="77777777" w:rsidR="00FD5F23" w:rsidRDefault="00FD5F23"/>
    <w:sectPr w:rsidR="00FD5F23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6F51F" w14:textId="77777777" w:rsidR="00CB656B" w:rsidRDefault="00CB656B">
      <w:r>
        <w:separator/>
      </w:r>
    </w:p>
  </w:endnote>
  <w:endnote w:type="continuationSeparator" w:id="0">
    <w:p w14:paraId="35EFA503" w14:textId="77777777" w:rsidR="00CB656B" w:rsidRDefault="00CB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MT">
    <w:altName w:val="Cambria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19E65" w14:textId="77777777" w:rsidR="00CB656B" w:rsidRDefault="00CB656B">
      <w:r>
        <w:separator/>
      </w:r>
    </w:p>
  </w:footnote>
  <w:footnote w:type="continuationSeparator" w:id="0">
    <w:p w14:paraId="4F04421A" w14:textId="77777777" w:rsidR="00CB656B" w:rsidRDefault="00CB656B">
      <w:r>
        <w:continuationSeparator/>
      </w:r>
    </w:p>
  </w:footnote>
  <w:footnote w:id="1">
    <w:p w14:paraId="635D054D" w14:textId="77777777" w:rsidR="00FD5F23" w:rsidRDefault="00CB656B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C683960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hint="default"/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2A10568"/>
    <w:multiLevelType w:val="multilevel"/>
    <w:tmpl w:val="7B40D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AFFE3"/>
    <w:multiLevelType w:val="multilevel"/>
    <w:tmpl w:val="1914936A"/>
    <w:lvl w:ilvl="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30E6DDE"/>
    <w:multiLevelType w:val="multilevel"/>
    <w:tmpl w:val="CA7689E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E0466CF"/>
    <w:multiLevelType w:val="multilevel"/>
    <w:tmpl w:val="A34AC9A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23"/>
    <w:rsid w:val="00B77B4A"/>
    <w:rsid w:val="00CB656B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E7F2"/>
  <w15:docId w15:val="{9A432F68-2071-4DB1-A941-1DC27E27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666666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4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4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5"/>
    <w:rPr>
      <w:sz w:val="20"/>
      <w:szCs w:val="20"/>
    </w:rPr>
  </w:style>
  <w:style w:type="character" w:customStyle="1" w:styleId="15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  <w:qFormat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b">
    <w:name w:val="line number"/>
  </w:style>
  <w:style w:type="character" w:customStyle="1" w:styleId="aff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d">
    <w:name w:val="Body Text"/>
    <w:basedOn w:val="a"/>
    <w:pPr>
      <w:spacing w:after="140" w:line="276" w:lineRule="auto"/>
    </w:pPr>
  </w:style>
  <w:style w:type="paragraph" w:styleId="affe">
    <w:name w:val="List"/>
    <w:basedOn w:val="affd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d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f">
    <w:name w:val="annotation subject"/>
    <w:basedOn w:val="1d"/>
    <w:next w:val="1d"/>
    <w:rPr>
      <w:b/>
      <w:bCs/>
    </w:rPr>
  </w:style>
  <w:style w:type="paragraph" w:styleId="aff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1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2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3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4">
    <w:name w:val="Содержимое таблицы"/>
    <w:basedOn w:val="a"/>
    <w:pPr>
      <w:widowControl w:val="0"/>
      <w:suppressLineNumbers/>
    </w:pPr>
  </w:style>
  <w:style w:type="paragraph" w:customStyle="1" w:styleId="afff5">
    <w:name w:val="Заголовок таблицы"/>
    <w:basedOn w:val="afff4"/>
    <w:pPr>
      <w:jc w:val="center"/>
    </w:pPr>
    <w:rPr>
      <w:b/>
      <w:bCs/>
    </w:rPr>
  </w:style>
  <w:style w:type="character" w:styleId="aff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f7">
    <w:name w:val="annotation text"/>
    <w:basedOn w:val="a"/>
    <w:link w:val="1e"/>
    <w:uiPriority w:val="99"/>
    <w:unhideWhenUsed/>
    <w:rPr>
      <w:sz w:val="20"/>
      <w:szCs w:val="20"/>
    </w:rPr>
  </w:style>
  <w:style w:type="character" w:customStyle="1" w:styleId="1e">
    <w:name w:val="Текст примечания Знак1"/>
    <w:basedOn w:val="a0"/>
    <w:link w:val="afff7"/>
    <w:uiPriority w:val="99"/>
    <w:rPr>
      <w:color w:val="000000"/>
    </w:rPr>
  </w:style>
  <w:style w:type="character" w:customStyle="1" w:styleId="fontstyle01">
    <w:name w:val="fontstyle01"/>
    <w:qFormat/>
    <w:rPr>
      <w:rFonts w:ascii="TimesNewRomanPSMT" w:hAnsi="TimesNewRomanPSM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1801</Words>
  <Characters>10271</Characters>
  <Application>Microsoft Office Word</Application>
  <DocSecurity>0</DocSecurity>
  <Lines>85</Lines>
  <Paragraphs>24</Paragraphs>
  <ScaleCrop>false</ScaleCrop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Tatyana Tatyana</cp:lastModifiedBy>
  <cp:revision>5</cp:revision>
  <dcterms:created xsi:type="dcterms:W3CDTF">2026-03-30T21:09:00Z</dcterms:created>
  <dcterms:modified xsi:type="dcterms:W3CDTF">2026-06-08T14:17:00Z</dcterms:modified>
  <cp:version>1048576</cp:version>
</cp:coreProperties>
</file>