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718" w:rsidRDefault="008F4970">
      <w:pPr>
        <w:ind w:right="62"/>
        <w:jc w:val="center"/>
        <w:rPr>
          <w:rFonts w:cs="Times New Roman"/>
          <w:b/>
        </w:rPr>
      </w:pPr>
      <w:r>
        <w:rPr>
          <w:rFonts w:cs="Times New Roman"/>
          <w:b/>
        </w:rPr>
        <w:t xml:space="preserve">Электронный аукцион </w:t>
      </w:r>
    </w:p>
    <w:p w:rsidR="002D3718" w:rsidRDefault="008F4970">
      <w:pPr>
        <w:ind w:right="62"/>
        <w:jc w:val="center"/>
        <w:rPr>
          <w:rFonts w:cs="Times New Roman"/>
        </w:rPr>
      </w:pPr>
      <w:r>
        <w:rPr>
          <w:rFonts w:cs="Times New Roman"/>
          <w:b/>
        </w:rPr>
        <w:t>по продаже недвижимого имущества, принадлежащего частному собственнику</w:t>
      </w:r>
    </w:p>
    <w:p w:rsidR="002D3718" w:rsidRDefault="008F4970">
      <w:pPr>
        <w:spacing w:line="259" w:lineRule="auto"/>
        <w:ind w:left="10" w:right="60"/>
        <w:jc w:val="center"/>
        <w:rPr>
          <w:rFonts w:cs="Times New Roman"/>
          <w:sz w:val="22"/>
          <w:szCs w:val="22"/>
        </w:rPr>
      </w:pPr>
      <w:r>
        <w:rPr>
          <w:rFonts w:cs="Times New Roman"/>
          <w:b/>
          <w:sz w:val="22"/>
          <w:szCs w:val="22"/>
        </w:rPr>
        <w:t xml:space="preserve">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w:t>
      </w:r>
      <w:r w:rsidR="00663852">
        <w:rPr>
          <w:rFonts w:cs="Times New Roman"/>
          <w:b/>
          <w:bCs/>
          <w:sz w:val="22"/>
          <w:szCs w:val="22"/>
        </w:rPr>
        <w:t>2</w:t>
      </w:r>
      <w:r w:rsidR="00252C32" w:rsidRPr="00252C32">
        <w:rPr>
          <w:rFonts w:cs="Times New Roman"/>
          <w:b/>
          <w:bCs/>
          <w:sz w:val="22"/>
          <w:szCs w:val="22"/>
        </w:rPr>
        <w:t>8</w:t>
      </w:r>
      <w:r>
        <w:rPr>
          <w:rFonts w:cs="Times New Roman"/>
          <w:b/>
          <w:bCs/>
          <w:sz w:val="22"/>
          <w:szCs w:val="22"/>
        </w:rPr>
        <w:t xml:space="preserve">» </w:t>
      </w:r>
      <w:r w:rsidR="00663852">
        <w:rPr>
          <w:rFonts w:cs="Times New Roman"/>
          <w:b/>
          <w:bCs/>
          <w:sz w:val="22"/>
          <w:szCs w:val="22"/>
        </w:rPr>
        <w:t>ию</w:t>
      </w:r>
      <w:r w:rsidR="00252C32">
        <w:rPr>
          <w:rFonts w:cs="Times New Roman"/>
          <w:b/>
          <w:bCs/>
          <w:sz w:val="22"/>
          <w:szCs w:val="22"/>
        </w:rPr>
        <w:t>л</w:t>
      </w:r>
      <w:r w:rsidR="004F50FF">
        <w:rPr>
          <w:rFonts w:cs="Times New Roman"/>
          <w:b/>
          <w:bCs/>
          <w:sz w:val="22"/>
          <w:szCs w:val="22"/>
        </w:rPr>
        <w:t>я</w:t>
      </w:r>
      <w:r w:rsidR="00252C32">
        <w:rPr>
          <w:rFonts w:cs="Times New Roman"/>
          <w:b/>
          <w:bCs/>
          <w:sz w:val="22"/>
          <w:szCs w:val="22"/>
        </w:rPr>
        <w:t xml:space="preserve"> 2026</w:t>
      </w:r>
      <w:r>
        <w:rPr>
          <w:rFonts w:cs="Times New Roman"/>
          <w:b/>
          <w:bCs/>
          <w:sz w:val="22"/>
          <w:szCs w:val="22"/>
        </w:rPr>
        <w:t xml:space="preserve"> года</w:t>
      </w:r>
      <w:r>
        <w:rPr>
          <w:rFonts w:cs="Times New Roman"/>
          <w:b/>
          <w:sz w:val="22"/>
          <w:szCs w:val="22"/>
        </w:rPr>
        <w:t xml:space="preserve"> с 10:00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2D3718" w:rsidRDefault="008F4970">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2D3718" w:rsidRDefault="008F4970">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2D3718" w:rsidRDefault="002D3718">
      <w:pPr>
        <w:tabs>
          <w:tab w:val="left" w:pos="10065"/>
        </w:tabs>
        <w:spacing w:after="8"/>
        <w:ind w:left="183" w:right="60"/>
        <w:jc w:val="center"/>
        <w:rPr>
          <w:rFonts w:cs="Times New Roman"/>
          <w:b/>
          <w:sz w:val="22"/>
          <w:szCs w:val="22"/>
        </w:rPr>
      </w:pPr>
    </w:p>
    <w:p w:rsidR="002D3718" w:rsidRDefault="008F4970">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2D3718" w:rsidRDefault="008F4970">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6C1FB8">
        <w:rPr>
          <w:rFonts w:cs="Times New Roman"/>
          <w:b/>
          <w:bCs/>
          <w:sz w:val="22"/>
          <w:szCs w:val="22"/>
        </w:rPr>
        <w:t>12</w:t>
      </w:r>
      <w:r w:rsidR="001C57C6">
        <w:rPr>
          <w:rFonts w:cs="Times New Roman"/>
          <w:b/>
          <w:bCs/>
          <w:sz w:val="22"/>
          <w:szCs w:val="22"/>
        </w:rPr>
        <w:t>:</w:t>
      </w:r>
      <w:r w:rsidR="00184BD2">
        <w:rPr>
          <w:rFonts w:cs="Times New Roman"/>
          <w:b/>
          <w:bCs/>
          <w:sz w:val="22"/>
          <w:szCs w:val="22"/>
        </w:rPr>
        <w:t>0</w:t>
      </w:r>
      <w:r>
        <w:rPr>
          <w:rFonts w:cs="Times New Roman"/>
          <w:b/>
          <w:bCs/>
          <w:sz w:val="22"/>
          <w:szCs w:val="22"/>
        </w:rPr>
        <w:t>0 «</w:t>
      </w:r>
      <w:r w:rsidR="006C1FB8">
        <w:rPr>
          <w:rFonts w:cs="Times New Roman"/>
          <w:b/>
          <w:bCs/>
          <w:sz w:val="22"/>
          <w:szCs w:val="22"/>
        </w:rPr>
        <w:t>23</w:t>
      </w:r>
      <w:bookmarkStart w:id="0" w:name="_GoBack"/>
      <w:bookmarkEnd w:id="0"/>
      <w:r>
        <w:rPr>
          <w:rFonts w:cs="Times New Roman"/>
          <w:b/>
          <w:bCs/>
          <w:sz w:val="22"/>
          <w:szCs w:val="22"/>
        </w:rPr>
        <w:t xml:space="preserve">» </w:t>
      </w:r>
      <w:r w:rsidR="00663852">
        <w:rPr>
          <w:rFonts w:cs="Times New Roman"/>
          <w:b/>
          <w:bCs/>
          <w:sz w:val="22"/>
          <w:szCs w:val="22"/>
        </w:rPr>
        <w:t>июн</w:t>
      </w:r>
      <w:r w:rsidR="001319CD">
        <w:rPr>
          <w:rFonts w:cs="Times New Roman"/>
          <w:b/>
          <w:bCs/>
          <w:sz w:val="22"/>
          <w:szCs w:val="22"/>
        </w:rPr>
        <w:t>я</w:t>
      </w:r>
      <w:r w:rsidR="00663852">
        <w:rPr>
          <w:rFonts w:cs="Times New Roman"/>
          <w:b/>
          <w:bCs/>
          <w:sz w:val="22"/>
          <w:szCs w:val="22"/>
        </w:rPr>
        <w:t xml:space="preserve"> 2026</w:t>
      </w:r>
      <w:r>
        <w:rPr>
          <w:rFonts w:cs="Times New Roman"/>
          <w:b/>
          <w:bCs/>
          <w:sz w:val="22"/>
          <w:szCs w:val="22"/>
        </w:rPr>
        <w:t xml:space="preserve"> года по «</w:t>
      </w:r>
      <w:r w:rsidR="00663852">
        <w:rPr>
          <w:rFonts w:cs="Times New Roman"/>
          <w:b/>
          <w:bCs/>
          <w:sz w:val="22"/>
          <w:szCs w:val="22"/>
        </w:rPr>
        <w:t>2</w:t>
      </w:r>
      <w:r w:rsidR="00252C32">
        <w:rPr>
          <w:rFonts w:cs="Times New Roman"/>
          <w:b/>
          <w:bCs/>
          <w:sz w:val="22"/>
          <w:szCs w:val="22"/>
        </w:rPr>
        <w:t>7</w:t>
      </w:r>
      <w:r>
        <w:rPr>
          <w:rFonts w:cs="Times New Roman"/>
          <w:b/>
          <w:bCs/>
          <w:sz w:val="22"/>
          <w:szCs w:val="22"/>
        </w:rPr>
        <w:t xml:space="preserve">» </w:t>
      </w:r>
      <w:r w:rsidR="00663852">
        <w:rPr>
          <w:rFonts w:cs="Times New Roman"/>
          <w:b/>
          <w:bCs/>
          <w:sz w:val="22"/>
          <w:szCs w:val="22"/>
        </w:rPr>
        <w:t>ию</w:t>
      </w:r>
      <w:r w:rsidR="00252C32">
        <w:rPr>
          <w:rFonts w:cs="Times New Roman"/>
          <w:b/>
          <w:bCs/>
          <w:sz w:val="22"/>
          <w:szCs w:val="22"/>
        </w:rPr>
        <w:t>ля 2026</w:t>
      </w:r>
      <w:r w:rsidR="004F50FF">
        <w:rPr>
          <w:rFonts w:cs="Times New Roman"/>
          <w:b/>
          <w:bCs/>
          <w:sz w:val="22"/>
          <w:szCs w:val="22"/>
        </w:rPr>
        <w:t xml:space="preserve"> года до 14</w:t>
      </w:r>
      <w:r>
        <w:rPr>
          <w:rFonts w:cs="Times New Roman"/>
          <w:b/>
          <w:bCs/>
          <w:sz w:val="22"/>
          <w:szCs w:val="22"/>
        </w:rPr>
        <w:t>:00</w:t>
      </w:r>
    </w:p>
    <w:p w:rsidR="002D3718" w:rsidRDefault="008F4970">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2D3718" w:rsidRDefault="002D3718">
      <w:pPr>
        <w:tabs>
          <w:tab w:val="left" w:pos="10065"/>
        </w:tabs>
        <w:spacing w:after="8"/>
        <w:ind w:right="60"/>
        <w:jc w:val="center"/>
        <w:rPr>
          <w:rFonts w:cs="Times New Roman"/>
          <w:b/>
          <w:sz w:val="22"/>
          <w:szCs w:val="22"/>
        </w:rPr>
      </w:pPr>
    </w:p>
    <w:p w:rsidR="002D3718" w:rsidRDefault="008F4970">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1"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1"/>
      <w:r>
        <w:rPr>
          <w:rFonts w:cs="Times New Roman"/>
          <w:b/>
          <w:sz w:val="22"/>
          <w:szCs w:val="22"/>
        </w:rPr>
        <w:t xml:space="preserve"> </w:t>
      </w:r>
    </w:p>
    <w:p w:rsidR="002D3718" w:rsidRDefault="00184BD2">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8F4970">
        <w:rPr>
          <w:rFonts w:cs="Times New Roman"/>
          <w:b/>
          <w:sz w:val="22"/>
          <w:szCs w:val="22"/>
        </w:rPr>
        <w:t>«</w:t>
      </w:r>
      <w:r w:rsidR="00663852">
        <w:rPr>
          <w:rFonts w:cs="Times New Roman"/>
          <w:b/>
          <w:bCs/>
          <w:sz w:val="22"/>
          <w:szCs w:val="22"/>
        </w:rPr>
        <w:t>2</w:t>
      </w:r>
      <w:r w:rsidR="00252C32">
        <w:rPr>
          <w:rFonts w:cs="Times New Roman"/>
          <w:b/>
          <w:bCs/>
          <w:sz w:val="22"/>
          <w:szCs w:val="22"/>
        </w:rPr>
        <w:t>7</w:t>
      </w:r>
      <w:r w:rsidR="008F4970">
        <w:rPr>
          <w:rFonts w:cs="Times New Roman"/>
          <w:b/>
          <w:bCs/>
          <w:sz w:val="22"/>
          <w:szCs w:val="22"/>
        </w:rPr>
        <w:t xml:space="preserve">» </w:t>
      </w:r>
      <w:r w:rsidR="00663852">
        <w:rPr>
          <w:rFonts w:cs="Times New Roman"/>
          <w:b/>
          <w:bCs/>
          <w:sz w:val="22"/>
          <w:szCs w:val="22"/>
        </w:rPr>
        <w:t>ию</w:t>
      </w:r>
      <w:r w:rsidR="00252C32">
        <w:rPr>
          <w:rFonts w:cs="Times New Roman"/>
          <w:b/>
          <w:bCs/>
          <w:sz w:val="22"/>
          <w:szCs w:val="22"/>
        </w:rPr>
        <w:t>л</w:t>
      </w:r>
      <w:r w:rsidR="004F50FF">
        <w:rPr>
          <w:rFonts w:cs="Times New Roman"/>
          <w:b/>
          <w:bCs/>
          <w:sz w:val="22"/>
          <w:szCs w:val="22"/>
        </w:rPr>
        <w:t>я</w:t>
      </w:r>
      <w:r w:rsidR="00252C32">
        <w:rPr>
          <w:rFonts w:cs="Times New Roman"/>
          <w:b/>
          <w:bCs/>
          <w:sz w:val="22"/>
          <w:szCs w:val="22"/>
        </w:rPr>
        <w:t xml:space="preserve"> 2026</w:t>
      </w:r>
      <w:r w:rsidR="008F4970">
        <w:rPr>
          <w:rFonts w:cs="Times New Roman"/>
          <w:b/>
          <w:bCs/>
          <w:sz w:val="22"/>
          <w:szCs w:val="22"/>
        </w:rPr>
        <w:t xml:space="preserve"> года </w:t>
      </w:r>
      <w:r w:rsidR="004F50FF">
        <w:rPr>
          <w:rFonts w:cs="Times New Roman"/>
          <w:b/>
          <w:sz w:val="22"/>
          <w:szCs w:val="22"/>
        </w:rPr>
        <w:t>14</w:t>
      </w:r>
      <w:r w:rsidR="008F4970">
        <w:rPr>
          <w:rFonts w:cs="Times New Roman"/>
          <w:b/>
          <w:sz w:val="22"/>
          <w:szCs w:val="22"/>
        </w:rPr>
        <w:t xml:space="preserve">:00. </w:t>
      </w:r>
    </w:p>
    <w:p w:rsidR="002D3718" w:rsidRDefault="008F4970">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663852">
        <w:rPr>
          <w:rFonts w:cs="Times New Roman"/>
          <w:b/>
          <w:bCs/>
          <w:sz w:val="22"/>
          <w:szCs w:val="22"/>
        </w:rPr>
        <w:t>2</w:t>
      </w:r>
      <w:r w:rsidR="00252C32">
        <w:rPr>
          <w:rFonts w:cs="Times New Roman"/>
          <w:b/>
          <w:bCs/>
          <w:sz w:val="22"/>
          <w:szCs w:val="22"/>
        </w:rPr>
        <w:t>7</w:t>
      </w:r>
      <w:r>
        <w:rPr>
          <w:rFonts w:cs="Times New Roman"/>
          <w:b/>
          <w:bCs/>
          <w:sz w:val="22"/>
          <w:szCs w:val="22"/>
        </w:rPr>
        <w:t xml:space="preserve">» </w:t>
      </w:r>
      <w:r w:rsidR="00663852">
        <w:rPr>
          <w:rFonts w:cs="Times New Roman"/>
          <w:b/>
          <w:bCs/>
          <w:sz w:val="22"/>
          <w:szCs w:val="22"/>
        </w:rPr>
        <w:t>ию</w:t>
      </w:r>
      <w:r w:rsidR="00252C32">
        <w:rPr>
          <w:rFonts w:cs="Times New Roman"/>
          <w:b/>
          <w:bCs/>
          <w:sz w:val="22"/>
          <w:szCs w:val="22"/>
        </w:rPr>
        <w:t>л</w:t>
      </w:r>
      <w:r w:rsidR="004F50FF">
        <w:rPr>
          <w:rFonts w:cs="Times New Roman"/>
          <w:b/>
          <w:bCs/>
          <w:sz w:val="22"/>
          <w:szCs w:val="22"/>
        </w:rPr>
        <w:t>я</w:t>
      </w:r>
      <w:r w:rsidR="00252C32">
        <w:rPr>
          <w:rFonts w:cs="Times New Roman"/>
          <w:b/>
          <w:bCs/>
          <w:sz w:val="22"/>
          <w:szCs w:val="22"/>
        </w:rPr>
        <w:t xml:space="preserve"> 2026</w:t>
      </w:r>
      <w:r>
        <w:rPr>
          <w:rFonts w:cs="Times New Roman"/>
          <w:b/>
          <w:bCs/>
          <w:sz w:val="22"/>
          <w:szCs w:val="22"/>
        </w:rPr>
        <w:t xml:space="preserve"> года </w:t>
      </w:r>
      <w:r>
        <w:rPr>
          <w:rFonts w:cs="Times New Roman"/>
          <w:b/>
          <w:sz w:val="22"/>
          <w:szCs w:val="22"/>
        </w:rPr>
        <w:t xml:space="preserve">в 15:00. </w:t>
      </w:r>
    </w:p>
    <w:p w:rsidR="002D3718" w:rsidRDefault="008F4970">
      <w:pPr>
        <w:jc w:val="center"/>
        <w:rPr>
          <w:bCs/>
          <w:sz w:val="18"/>
          <w:szCs w:val="18"/>
        </w:rPr>
      </w:pPr>
      <w:r>
        <w:rPr>
          <w:bCs/>
          <w:sz w:val="18"/>
          <w:szCs w:val="18"/>
        </w:rPr>
        <w:t>(Указанное в настоящем информационном сообщении время – Московское)</w:t>
      </w:r>
    </w:p>
    <w:p w:rsidR="002D3718" w:rsidRDefault="008F4970">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2D3718" w:rsidRDefault="008F4970">
      <w:pPr>
        <w:jc w:val="center"/>
        <w:rPr>
          <w:bCs/>
          <w:sz w:val="18"/>
          <w:szCs w:val="18"/>
        </w:rPr>
      </w:pPr>
      <w:r>
        <w:rPr>
          <w:bCs/>
          <w:sz w:val="18"/>
          <w:szCs w:val="18"/>
        </w:rPr>
        <w:t>электронной торговой площадки)</w:t>
      </w:r>
    </w:p>
    <w:p w:rsidR="002D3718" w:rsidRDefault="002D3718">
      <w:pPr>
        <w:jc w:val="center"/>
        <w:rPr>
          <w:bCs/>
          <w:sz w:val="18"/>
          <w:szCs w:val="18"/>
        </w:rPr>
      </w:pPr>
    </w:p>
    <w:p w:rsidR="002D3718" w:rsidRDefault="008F4970">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2D3718" w:rsidRDefault="002D3718">
      <w:pPr>
        <w:spacing w:after="33" w:line="247" w:lineRule="auto"/>
        <w:ind w:right="60"/>
        <w:jc w:val="center"/>
        <w:rPr>
          <w:rFonts w:cs="Times New Roman"/>
          <w:sz w:val="10"/>
          <w:szCs w:val="10"/>
        </w:rPr>
      </w:pPr>
    </w:p>
    <w:p w:rsidR="002D3718" w:rsidRDefault="00B50979">
      <w:pPr>
        <w:ind w:right="60" w:firstLine="298"/>
        <w:jc w:val="center"/>
        <w:rPr>
          <w:rFonts w:cs="Times New Roman"/>
          <w:sz w:val="22"/>
          <w:szCs w:val="22"/>
        </w:rPr>
      </w:pPr>
      <w:r>
        <w:rPr>
          <w:rFonts w:cs="Times New Roman"/>
          <w:b/>
          <w:bCs/>
          <w:sz w:val="22"/>
          <w:szCs w:val="22"/>
        </w:rPr>
        <w:t>Сведение</w:t>
      </w:r>
      <w:r w:rsidR="008F4970">
        <w:rPr>
          <w:rFonts w:cs="Times New Roman"/>
          <w:b/>
          <w:bCs/>
          <w:sz w:val="22"/>
          <w:szCs w:val="22"/>
        </w:rPr>
        <w:t xml:space="preserve"> об объект</w:t>
      </w:r>
      <w:r>
        <w:rPr>
          <w:rFonts w:cs="Times New Roman"/>
          <w:b/>
          <w:bCs/>
          <w:sz w:val="22"/>
          <w:szCs w:val="22"/>
        </w:rPr>
        <w:t>е (далее – Объект</w:t>
      </w:r>
      <w:r w:rsidR="008F4970">
        <w:rPr>
          <w:rFonts w:cs="Times New Roman"/>
          <w:b/>
          <w:bCs/>
          <w:sz w:val="22"/>
          <w:szCs w:val="22"/>
        </w:rPr>
        <w:t>, Лот):</w:t>
      </w:r>
    </w:p>
    <w:p w:rsidR="00663852" w:rsidRPr="00663852" w:rsidRDefault="00663852" w:rsidP="00663852">
      <w:pPr>
        <w:ind w:right="-57"/>
        <w:jc w:val="both"/>
        <w:rPr>
          <w:sz w:val="22"/>
          <w:szCs w:val="22"/>
        </w:rPr>
      </w:pPr>
      <w:r w:rsidRPr="00663852">
        <w:rPr>
          <w:sz w:val="22"/>
          <w:szCs w:val="22"/>
        </w:rPr>
        <w:t>Доли в размере 100 % (сто процентов) уставного капитала Общества с ограниченной ответственностью «</w:t>
      </w:r>
      <w:r w:rsidR="007A28C7" w:rsidRPr="00663852">
        <w:rPr>
          <w:sz w:val="22"/>
          <w:szCs w:val="22"/>
        </w:rPr>
        <w:t>Проект Девелопмент</w:t>
      </w:r>
      <w:r w:rsidRPr="00663852">
        <w:rPr>
          <w:sz w:val="22"/>
          <w:szCs w:val="22"/>
        </w:rPr>
        <w:t>»</w:t>
      </w:r>
      <w:r w:rsidR="007A28C7">
        <w:rPr>
          <w:sz w:val="22"/>
          <w:szCs w:val="22"/>
        </w:rPr>
        <w:t>.</w:t>
      </w:r>
    </w:p>
    <w:p w:rsidR="00663852" w:rsidRPr="00663852" w:rsidRDefault="00663852" w:rsidP="00663852">
      <w:pPr>
        <w:ind w:right="-57"/>
        <w:jc w:val="both"/>
        <w:rPr>
          <w:sz w:val="22"/>
          <w:szCs w:val="22"/>
        </w:rPr>
      </w:pPr>
      <w:r w:rsidRPr="00663852">
        <w:rPr>
          <w:sz w:val="22"/>
          <w:szCs w:val="22"/>
        </w:rPr>
        <w:t>Полное наименование: Общество с ограниченной ответственностью «Проект Девелопмент». Сокращенное наименование: ООО «Проект Девелопмент».</w:t>
      </w:r>
    </w:p>
    <w:p w:rsidR="00663852" w:rsidRPr="00663852" w:rsidRDefault="00663852" w:rsidP="00663852">
      <w:pPr>
        <w:ind w:right="-57"/>
        <w:jc w:val="both"/>
        <w:rPr>
          <w:sz w:val="22"/>
          <w:szCs w:val="22"/>
        </w:rPr>
      </w:pPr>
      <w:r w:rsidRPr="00663852">
        <w:rPr>
          <w:sz w:val="22"/>
          <w:szCs w:val="22"/>
        </w:rPr>
        <w:t xml:space="preserve"> Адрес юридического лица: 199004, Г.САНКТ-ПЕТЕРБУРГ, ПР-КТ МАЛЫЙ В.О., Д. 22, ЛИТЕРА А.</w:t>
      </w:r>
    </w:p>
    <w:p w:rsidR="00663852" w:rsidRPr="00663852" w:rsidRDefault="00663852" w:rsidP="00663852">
      <w:pPr>
        <w:ind w:right="-57"/>
        <w:jc w:val="both"/>
        <w:rPr>
          <w:sz w:val="22"/>
          <w:szCs w:val="22"/>
        </w:rPr>
      </w:pPr>
      <w:r w:rsidRPr="00663852">
        <w:rPr>
          <w:sz w:val="22"/>
          <w:szCs w:val="22"/>
        </w:rPr>
        <w:t xml:space="preserve">Сведения о регистрации: зарегистрировано Межрайонной инспекцией Федеральной налоговой службы №15 по Санкт-Петербургу 21.11.2007 </w:t>
      </w:r>
    </w:p>
    <w:p w:rsidR="00663852" w:rsidRPr="00663852" w:rsidRDefault="00663852" w:rsidP="00663852">
      <w:pPr>
        <w:ind w:right="-57"/>
        <w:jc w:val="both"/>
        <w:rPr>
          <w:sz w:val="22"/>
          <w:szCs w:val="22"/>
        </w:rPr>
      </w:pPr>
      <w:r w:rsidRPr="00663852">
        <w:rPr>
          <w:sz w:val="22"/>
          <w:szCs w:val="22"/>
        </w:rPr>
        <w:t xml:space="preserve">ОГРН </w:t>
      </w:r>
      <w:r w:rsidRPr="00663852">
        <w:rPr>
          <w:rFonts w:hint="eastAsia"/>
          <w:sz w:val="22"/>
          <w:szCs w:val="22"/>
        </w:rPr>
        <w:t>1079847096460</w:t>
      </w:r>
      <w:r w:rsidRPr="00663852">
        <w:rPr>
          <w:sz w:val="22"/>
          <w:szCs w:val="22"/>
        </w:rPr>
        <w:t xml:space="preserve">. ИНН </w:t>
      </w:r>
      <w:r w:rsidRPr="00663852">
        <w:rPr>
          <w:rFonts w:hint="eastAsia"/>
          <w:sz w:val="22"/>
          <w:szCs w:val="22"/>
        </w:rPr>
        <w:t>7842372193</w:t>
      </w:r>
      <w:r w:rsidRPr="00663852">
        <w:rPr>
          <w:sz w:val="22"/>
          <w:szCs w:val="22"/>
        </w:rPr>
        <w:t xml:space="preserve">. КПП </w:t>
      </w:r>
      <w:r w:rsidRPr="00663852">
        <w:rPr>
          <w:rFonts w:hint="eastAsia"/>
          <w:sz w:val="22"/>
          <w:szCs w:val="22"/>
        </w:rPr>
        <w:t>780101001</w:t>
      </w:r>
      <w:r w:rsidRPr="00663852">
        <w:rPr>
          <w:sz w:val="22"/>
          <w:szCs w:val="22"/>
        </w:rPr>
        <w:t>.</w:t>
      </w:r>
    </w:p>
    <w:p w:rsidR="00663852" w:rsidRPr="00663852" w:rsidRDefault="00663852" w:rsidP="00663852">
      <w:pPr>
        <w:ind w:right="-57"/>
        <w:jc w:val="both"/>
        <w:rPr>
          <w:sz w:val="22"/>
          <w:szCs w:val="22"/>
        </w:rPr>
      </w:pPr>
      <w:r w:rsidRPr="00663852">
        <w:rPr>
          <w:sz w:val="22"/>
          <w:szCs w:val="22"/>
        </w:rPr>
        <w:t xml:space="preserve"> Уставный капитал ООО «Проект Девелопмент» состоит из номинальной стоимости доли его участников и составляет </w:t>
      </w:r>
      <w:r w:rsidRPr="00663852">
        <w:rPr>
          <w:rFonts w:hint="eastAsia"/>
          <w:sz w:val="22"/>
          <w:szCs w:val="22"/>
        </w:rPr>
        <w:t xml:space="preserve">170 017 093 </w:t>
      </w:r>
      <w:r w:rsidRPr="00663852">
        <w:rPr>
          <w:sz w:val="22"/>
          <w:szCs w:val="22"/>
        </w:rPr>
        <w:t>(Сто семьдесят миллионов семнадцать тысяч девяносто три) рубля 88 коп.</w:t>
      </w:r>
    </w:p>
    <w:p w:rsidR="00663852" w:rsidRPr="00663852" w:rsidRDefault="00663852" w:rsidP="00663852">
      <w:pPr>
        <w:ind w:right="-57"/>
        <w:jc w:val="both"/>
        <w:rPr>
          <w:sz w:val="22"/>
          <w:szCs w:val="22"/>
        </w:rPr>
      </w:pPr>
      <w:r w:rsidRPr="00663852">
        <w:rPr>
          <w:sz w:val="22"/>
          <w:szCs w:val="22"/>
        </w:rPr>
        <w:t>Обществу н</w:t>
      </w:r>
      <w:r w:rsidR="007A28C7">
        <w:rPr>
          <w:sz w:val="22"/>
          <w:szCs w:val="22"/>
        </w:rPr>
        <w:t>а праве собственности принадлежит следующий объект</w:t>
      </w:r>
      <w:r w:rsidRPr="00663852">
        <w:rPr>
          <w:sz w:val="22"/>
          <w:szCs w:val="22"/>
        </w:rPr>
        <w:t xml:space="preserve"> недвижимости :</w:t>
      </w:r>
    </w:p>
    <w:p w:rsidR="006F48A2" w:rsidRDefault="00663852" w:rsidP="006F48A2">
      <w:pPr>
        <w:pStyle w:val="aff9"/>
        <w:ind w:firstLine="708"/>
        <w:jc w:val="both"/>
      </w:pPr>
      <w:r w:rsidRPr="00663852">
        <w:rPr>
          <w:sz w:val="22"/>
          <w:szCs w:val="22"/>
        </w:rPr>
        <w:t xml:space="preserve">- </w:t>
      </w:r>
      <w:r w:rsidR="006F48A2">
        <w:t xml:space="preserve">Земельный участок, площадью 128231 +/- 11 кв.м., кадастровый номер: 47:07:0719001:23, находящийся по адресу: Ленинградская область, Всеволожский район, массив ''Ольгино-2'',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виды разрешенного использования: в целях строительства торгово-логистического комплекса. </w:t>
      </w:r>
    </w:p>
    <w:p w:rsidR="00663852" w:rsidRPr="00663852" w:rsidRDefault="006F48A2" w:rsidP="006F48A2">
      <w:pPr>
        <w:ind w:right="-57"/>
        <w:jc w:val="both"/>
        <w:rPr>
          <w:sz w:val="22"/>
          <w:szCs w:val="22"/>
        </w:rPr>
      </w:pPr>
      <w:r>
        <w:t xml:space="preserve">Ограничения (обременения): в соответствии с выпиской ЕГРН.  </w:t>
      </w:r>
    </w:p>
    <w:p w:rsidR="00253092" w:rsidRDefault="00253092" w:rsidP="00253092">
      <w:pPr>
        <w:ind w:right="-57"/>
        <w:jc w:val="both"/>
        <w:rPr>
          <w:sz w:val="22"/>
          <w:szCs w:val="22"/>
        </w:rPr>
      </w:pPr>
    </w:p>
    <w:p w:rsidR="00184BD2" w:rsidRPr="00184BD2" w:rsidRDefault="008F4970" w:rsidP="00253092">
      <w:pPr>
        <w:ind w:right="-57"/>
        <w:jc w:val="both"/>
        <w:rPr>
          <w:b/>
          <w:bCs/>
          <w:sz w:val="22"/>
          <w:szCs w:val="22"/>
        </w:rPr>
      </w:pPr>
      <w:r>
        <w:rPr>
          <w:b/>
          <w:bCs/>
          <w:sz w:val="22"/>
          <w:szCs w:val="22"/>
        </w:rPr>
        <w:t xml:space="preserve">Начальная цена продажи Лота устанавливается в размере </w:t>
      </w:r>
      <w:r w:rsidR="006F48A2">
        <w:rPr>
          <w:b/>
          <w:bCs/>
          <w:sz w:val="22"/>
          <w:szCs w:val="22"/>
        </w:rPr>
        <w:t>350</w:t>
      </w:r>
      <w:r w:rsidR="00253092">
        <w:rPr>
          <w:b/>
          <w:bCs/>
          <w:sz w:val="22"/>
          <w:szCs w:val="22"/>
        </w:rPr>
        <w:t> 0</w:t>
      </w:r>
      <w:r w:rsidR="00184BD2" w:rsidRPr="00184BD2">
        <w:rPr>
          <w:b/>
          <w:bCs/>
          <w:sz w:val="22"/>
          <w:szCs w:val="22"/>
        </w:rPr>
        <w:t>00 000 (</w:t>
      </w:r>
      <w:r w:rsidR="006F48A2">
        <w:rPr>
          <w:b/>
          <w:bCs/>
          <w:sz w:val="22"/>
          <w:szCs w:val="22"/>
        </w:rPr>
        <w:t>Триста пятьдесят</w:t>
      </w:r>
      <w:r w:rsidR="00184BD2" w:rsidRPr="00184BD2">
        <w:rPr>
          <w:b/>
          <w:bCs/>
          <w:sz w:val="22"/>
          <w:szCs w:val="22"/>
        </w:rPr>
        <w:t xml:space="preserve"> миллионов) рублей 00 коп., НДС не облагается.</w:t>
      </w:r>
    </w:p>
    <w:p w:rsidR="002D3718" w:rsidRDefault="002D3718" w:rsidP="00184BD2">
      <w:pPr>
        <w:ind w:right="-57"/>
        <w:jc w:val="both"/>
        <w:rPr>
          <w:b/>
          <w:bCs/>
          <w:sz w:val="10"/>
          <w:szCs w:val="10"/>
        </w:rPr>
      </w:pPr>
    </w:p>
    <w:p w:rsidR="002D3718" w:rsidRDefault="008F4970">
      <w:pPr>
        <w:tabs>
          <w:tab w:val="left" w:pos="567"/>
        </w:tabs>
        <w:spacing w:line="252" w:lineRule="auto"/>
        <w:jc w:val="both"/>
        <w:rPr>
          <w:b/>
          <w:bCs/>
          <w:sz w:val="22"/>
          <w:szCs w:val="22"/>
        </w:rPr>
      </w:pPr>
      <w:r>
        <w:rPr>
          <w:b/>
          <w:bCs/>
          <w:sz w:val="22"/>
          <w:szCs w:val="22"/>
        </w:rPr>
        <w:t xml:space="preserve">Сумма задатка устанавливается в размере </w:t>
      </w:r>
      <w:r w:rsidR="006F48A2">
        <w:rPr>
          <w:b/>
          <w:bCs/>
          <w:sz w:val="22"/>
          <w:szCs w:val="22"/>
        </w:rPr>
        <w:t>25</w:t>
      </w:r>
      <w:r w:rsidR="00BC7181" w:rsidRPr="00BC7181">
        <w:rPr>
          <w:b/>
          <w:bCs/>
          <w:sz w:val="22"/>
          <w:szCs w:val="22"/>
        </w:rPr>
        <w:t xml:space="preserve"> 000 000 </w:t>
      </w:r>
      <w:r>
        <w:rPr>
          <w:b/>
          <w:bCs/>
          <w:sz w:val="22"/>
          <w:szCs w:val="22"/>
        </w:rPr>
        <w:t>(</w:t>
      </w:r>
      <w:r w:rsidR="001319CD">
        <w:rPr>
          <w:b/>
          <w:bCs/>
          <w:sz w:val="22"/>
          <w:szCs w:val="22"/>
        </w:rPr>
        <w:t>Д</w:t>
      </w:r>
      <w:r w:rsidR="006F48A2">
        <w:rPr>
          <w:b/>
          <w:bCs/>
          <w:sz w:val="22"/>
          <w:szCs w:val="22"/>
        </w:rPr>
        <w:t>вадцать пять</w:t>
      </w:r>
      <w:r w:rsidR="00253092">
        <w:rPr>
          <w:b/>
          <w:bCs/>
          <w:sz w:val="22"/>
          <w:szCs w:val="22"/>
        </w:rPr>
        <w:t xml:space="preserve"> миллионов</w:t>
      </w:r>
      <w:r>
        <w:rPr>
          <w:b/>
          <w:bCs/>
          <w:sz w:val="22"/>
          <w:szCs w:val="22"/>
        </w:rPr>
        <w:t>) рублей 00 копеек.</w:t>
      </w:r>
    </w:p>
    <w:p w:rsidR="002D3718" w:rsidRDefault="002D3718">
      <w:pPr>
        <w:tabs>
          <w:tab w:val="left" w:pos="1134"/>
        </w:tabs>
        <w:spacing w:line="252" w:lineRule="auto"/>
        <w:jc w:val="both"/>
        <w:rPr>
          <w:b/>
          <w:bCs/>
          <w:sz w:val="10"/>
          <w:szCs w:val="10"/>
        </w:rPr>
      </w:pPr>
    </w:p>
    <w:p w:rsidR="002D3718" w:rsidRDefault="008F4970">
      <w:pPr>
        <w:tabs>
          <w:tab w:val="left" w:pos="567"/>
        </w:tabs>
        <w:spacing w:line="252" w:lineRule="auto"/>
        <w:jc w:val="both"/>
        <w:rPr>
          <w:b/>
          <w:bCs/>
          <w:sz w:val="22"/>
          <w:szCs w:val="22"/>
        </w:rPr>
      </w:pPr>
      <w:bookmarkStart w:id="2" w:name="_Hlk131520223"/>
      <w:r>
        <w:rPr>
          <w:b/>
          <w:bCs/>
          <w:sz w:val="22"/>
          <w:szCs w:val="22"/>
        </w:rPr>
        <w:t xml:space="preserve">Шаг аукциона на повышение устанавливается в размере </w:t>
      </w:r>
      <w:r w:rsidR="006F48A2">
        <w:rPr>
          <w:b/>
          <w:bCs/>
          <w:sz w:val="22"/>
          <w:szCs w:val="22"/>
        </w:rPr>
        <w:t>10</w:t>
      </w:r>
      <w:r w:rsidR="00253092">
        <w:rPr>
          <w:b/>
          <w:bCs/>
          <w:sz w:val="22"/>
          <w:szCs w:val="22"/>
        </w:rPr>
        <w:t> </w:t>
      </w:r>
      <w:r w:rsidR="00BC7181" w:rsidRPr="00BC7181">
        <w:rPr>
          <w:b/>
          <w:bCs/>
          <w:sz w:val="22"/>
          <w:szCs w:val="22"/>
        </w:rPr>
        <w:t>000</w:t>
      </w:r>
      <w:r w:rsidR="00253092">
        <w:rPr>
          <w:b/>
          <w:bCs/>
          <w:sz w:val="22"/>
          <w:szCs w:val="22"/>
        </w:rPr>
        <w:t xml:space="preserve"> 000</w:t>
      </w:r>
      <w:r w:rsidR="00BC7181" w:rsidRPr="00BC7181">
        <w:rPr>
          <w:b/>
          <w:bCs/>
          <w:sz w:val="22"/>
          <w:szCs w:val="22"/>
        </w:rPr>
        <w:t xml:space="preserve"> </w:t>
      </w:r>
      <w:r>
        <w:rPr>
          <w:rFonts w:eastAsia="Times New Roman" w:cs="Times New Roman"/>
          <w:b/>
          <w:bCs/>
          <w:sz w:val="22"/>
          <w:szCs w:val="22"/>
          <w:lang w:eastAsia="ru-RU" w:bidi="ar-SA"/>
        </w:rPr>
        <w:t>(</w:t>
      </w:r>
      <w:r w:rsidR="006F48A2">
        <w:rPr>
          <w:rFonts w:eastAsia="Times New Roman" w:cs="Times New Roman"/>
          <w:b/>
          <w:bCs/>
          <w:sz w:val="22"/>
          <w:szCs w:val="22"/>
          <w:lang w:eastAsia="ru-RU" w:bidi="ar-SA"/>
        </w:rPr>
        <w:t>Деся</w:t>
      </w:r>
      <w:r w:rsidR="00BC7181" w:rsidRPr="00BC7181">
        <w:rPr>
          <w:rFonts w:eastAsia="Times New Roman" w:cs="Times New Roman"/>
          <w:b/>
          <w:bCs/>
          <w:sz w:val="22"/>
          <w:szCs w:val="22"/>
          <w:lang w:eastAsia="ru-RU" w:bidi="ar-SA"/>
        </w:rPr>
        <w:t>т</w:t>
      </w:r>
      <w:r w:rsidR="00253092">
        <w:rPr>
          <w:rFonts w:eastAsia="Times New Roman" w:cs="Times New Roman"/>
          <w:b/>
          <w:bCs/>
          <w:sz w:val="22"/>
          <w:szCs w:val="22"/>
          <w:lang w:eastAsia="ru-RU" w:bidi="ar-SA"/>
        </w:rPr>
        <w:t>ь миллионов</w:t>
      </w:r>
      <w:r>
        <w:rPr>
          <w:rFonts w:eastAsia="Times New Roman" w:cs="Times New Roman"/>
          <w:b/>
          <w:bCs/>
          <w:sz w:val="22"/>
          <w:szCs w:val="22"/>
          <w:lang w:eastAsia="ru-RU" w:bidi="ar-SA"/>
        </w:rPr>
        <w:t xml:space="preserve">) </w:t>
      </w:r>
      <w:r>
        <w:rPr>
          <w:b/>
          <w:bCs/>
          <w:sz w:val="22"/>
          <w:szCs w:val="22"/>
        </w:rPr>
        <w:t>рублей 00 копеек.</w:t>
      </w:r>
      <w:bookmarkEnd w:id="2"/>
    </w:p>
    <w:p w:rsidR="002D3718" w:rsidRDefault="002D3718">
      <w:pPr>
        <w:tabs>
          <w:tab w:val="left" w:pos="567"/>
        </w:tabs>
        <w:spacing w:line="252" w:lineRule="auto"/>
        <w:jc w:val="both"/>
      </w:pPr>
    </w:p>
    <w:p w:rsidR="002D3718" w:rsidRDefault="008F497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2D3718" w:rsidRDefault="008F497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2D3718" w:rsidRDefault="002D3718">
      <w:pPr>
        <w:ind w:left="-15" w:firstLine="684"/>
        <w:jc w:val="both"/>
        <w:rPr>
          <w:rFonts w:cs="Times New Roman"/>
          <w:sz w:val="22"/>
          <w:szCs w:val="22"/>
        </w:rPr>
      </w:pPr>
    </w:p>
    <w:p w:rsidR="002D3718" w:rsidRDefault="008F4970">
      <w:pPr>
        <w:spacing w:line="259" w:lineRule="auto"/>
        <w:jc w:val="center"/>
        <w:rPr>
          <w:rFonts w:cs="Times New Roman"/>
          <w:sz w:val="22"/>
          <w:szCs w:val="22"/>
        </w:rPr>
      </w:pPr>
      <w:r>
        <w:rPr>
          <w:rFonts w:cs="Times New Roman"/>
          <w:b/>
          <w:sz w:val="22"/>
          <w:szCs w:val="22"/>
        </w:rPr>
        <w:t>УСЛОВИЯ ПРОВЕДЕНИЯ АУКЦИОНА:</w:t>
      </w:r>
    </w:p>
    <w:p w:rsidR="002D3718" w:rsidRDefault="008F497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2D3718" w:rsidRDefault="008F497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2D3718" w:rsidRDefault="008F497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2D3718" w:rsidRDefault="008F497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2D3718" w:rsidRDefault="008F4970">
      <w:pPr>
        <w:spacing w:after="26" w:line="259" w:lineRule="auto"/>
        <w:ind w:left="720" w:right="60"/>
        <w:jc w:val="both"/>
        <w:rPr>
          <w:rFonts w:cs="Times New Roman"/>
          <w:sz w:val="10"/>
          <w:szCs w:val="10"/>
        </w:rPr>
      </w:pPr>
      <w:r>
        <w:rPr>
          <w:rFonts w:cs="Times New Roman"/>
          <w:b/>
          <w:sz w:val="22"/>
          <w:szCs w:val="22"/>
        </w:rPr>
        <w:t xml:space="preserve"> </w:t>
      </w:r>
    </w:p>
    <w:p w:rsidR="002D3718" w:rsidRDefault="008F497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2D3718" w:rsidRDefault="008F497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2D3718" w:rsidRDefault="008F497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2D3718" w:rsidRDefault="008F497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2D3718" w:rsidRDefault="008F497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2D3718" w:rsidRDefault="008F4970">
      <w:pPr>
        <w:tabs>
          <w:tab w:val="left" w:pos="1134"/>
        </w:tabs>
        <w:ind w:left="709" w:right="60"/>
        <w:jc w:val="both"/>
        <w:rPr>
          <w:rFonts w:cs="Times New Roman"/>
          <w:sz w:val="22"/>
          <w:szCs w:val="22"/>
        </w:rPr>
      </w:pPr>
      <w:r>
        <w:rPr>
          <w:rFonts w:cs="Times New Roman"/>
          <w:sz w:val="22"/>
          <w:szCs w:val="22"/>
        </w:rPr>
        <w:t>4.1. Физические лица:</w:t>
      </w:r>
    </w:p>
    <w:p w:rsidR="002D3718" w:rsidRDefault="008F497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2D3718" w:rsidRDefault="008F4970">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2D3718" w:rsidRDefault="008F4970">
      <w:pPr>
        <w:numPr>
          <w:ilvl w:val="0"/>
          <w:numId w:val="1"/>
        </w:numPr>
        <w:tabs>
          <w:tab w:val="left" w:pos="284"/>
        </w:tabs>
        <w:ind w:right="60"/>
        <w:jc w:val="both"/>
        <w:rPr>
          <w:rFonts w:cs="Times New Roman"/>
          <w:sz w:val="22"/>
          <w:szCs w:val="22"/>
        </w:rPr>
      </w:pPr>
      <w:r>
        <w:rPr>
          <w:rFonts w:cs="Times New Roman"/>
          <w:sz w:val="22"/>
          <w:szCs w:val="22"/>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w:t>
      </w:r>
      <w:r>
        <w:rPr>
          <w:rFonts w:cs="Times New Roman"/>
          <w:sz w:val="22"/>
          <w:szCs w:val="22"/>
        </w:rPr>
        <w:lastRenderedPageBreak/>
        <w:t>или информационное письмо о том, что сделка для Претендента не является крупной/сделкой с заинтересованностью;</w:t>
      </w:r>
    </w:p>
    <w:p w:rsidR="002D3718" w:rsidRDefault="008F4970">
      <w:pPr>
        <w:ind w:left="708" w:right="60"/>
        <w:jc w:val="both"/>
        <w:rPr>
          <w:rFonts w:cs="Times New Roman"/>
          <w:sz w:val="22"/>
          <w:szCs w:val="22"/>
        </w:rPr>
      </w:pPr>
      <w:r>
        <w:rPr>
          <w:rFonts w:cs="Times New Roman"/>
          <w:sz w:val="22"/>
          <w:szCs w:val="22"/>
        </w:rPr>
        <w:t xml:space="preserve">4.3. Индивидуальные предприниматели: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2D3718" w:rsidRDefault="008F497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2D3718" w:rsidRDefault="008F4970">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2D3718" w:rsidRDefault="008F497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2D3718" w:rsidRDefault="008F497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2D3718" w:rsidRDefault="008F497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2D3718" w:rsidRDefault="008F497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2D3718" w:rsidRDefault="008F497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2D3718" w:rsidRDefault="008F4970">
      <w:pPr>
        <w:jc w:val="both"/>
        <w:rPr>
          <w:rFonts w:cs="Times New Roman"/>
          <w:b/>
          <w:sz w:val="22"/>
          <w:szCs w:val="22"/>
        </w:rPr>
      </w:pPr>
      <w:r>
        <w:rPr>
          <w:rFonts w:cs="Times New Roman"/>
          <w:b/>
          <w:sz w:val="22"/>
          <w:szCs w:val="22"/>
        </w:rPr>
        <w:t>р/с № 40702810355000036459 в СЕВЕРО-ЗАПАДНЫЙ БАНК ПАО СБЕРБАНК,</w:t>
      </w:r>
    </w:p>
    <w:p w:rsidR="002D3718" w:rsidRDefault="008F497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2D3718" w:rsidRDefault="002D3718">
      <w:pPr>
        <w:jc w:val="both"/>
        <w:rPr>
          <w:rFonts w:cs="Times New Roman"/>
          <w:b/>
          <w:sz w:val="10"/>
          <w:szCs w:val="10"/>
          <w:shd w:val="clear" w:color="auto" w:fill="FFFFFF"/>
        </w:rPr>
      </w:pPr>
    </w:p>
    <w:p w:rsidR="002D3718" w:rsidRDefault="008F4970">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w:t>
      </w:r>
      <w:r w:rsidR="00BC7181">
        <w:rPr>
          <w:rFonts w:cs="Times New Roman"/>
          <w:b/>
          <w:sz w:val="22"/>
          <w:szCs w:val="22"/>
        </w:rPr>
        <w:t>4</w:t>
      </w:r>
      <w:r>
        <w:rPr>
          <w:rFonts w:cs="Times New Roman"/>
          <w:b/>
          <w:sz w:val="22"/>
          <w:szCs w:val="22"/>
        </w:rPr>
        <w:t>:00 «</w:t>
      </w:r>
      <w:r w:rsidR="007A28C7">
        <w:rPr>
          <w:rFonts w:cs="Times New Roman"/>
          <w:b/>
          <w:bCs/>
          <w:sz w:val="22"/>
          <w:szCs w:val="22"/>
        </w:rPr>
        <w:t>2</w:t>
      </w:r>
      <w:r w:rsidR="00252C32">
        <w:rPr>
          <w:rFonts w:cs="Times New Roman"/>
          <w:b/>
          <w:bCs/>
          <w:sz w:val="22"/>
          <w:szCs w:val="22"/>
        </w:rPr>
        <w:t>7</w:t>
      </w:r>
      <w:r>
        <w:rPr>
          <w:rFonts w:cs="Times New Roman"/>
          <w:b/>
          <w:bCs/>
          <w:sz w:val="22"/>
          <w:szCs w:val="22"/>
        </w:rPr>
        <w:t xml:space="preserve">» </w:t>
      </w:r>
      <w:r w:rsidR="007A28C7">
        <w:rPr>
          <w:rFonts w:cs="Times New Roman"/>
          <w:b/>
          <w:bCs/>
          <w:sz w:val="22"/>
          <w:szCs w:val="22"/>
        </w:rPr>
        <w:t>ию</w:t>
      </w:r>
      <w:r w:rsidR="00252C32">
        <w:rPr>
          <w:rFonts w:cs="Times New Roman"/>
          <w:b/>
          <w:bCs/>
          <w:sz w:val="22"/>
          <w:szCs w:val="22"/>
        </w:rPr>
        <w:t>л</w:t>
      </w:r>
      <w:r w:rsidR="00184BD2">
        <w:rPr>
          <w:rFonts w:cs="Times New Roman"/>
          <w:b/>
          <w:bCs/>
          <w:sz w:val="22"/>
          <w:szCs w:val="22"/>
        </w:rPr>
        <w:t>я</w:t>
      </w:r>
      <w:r w:rsidR="00252C32">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rsidR="002D3718" w:rsidRDefault="002D3718">
      <w:pPr>
        <w:tabs>
          <w:tab w:val="left" w:pos="10065"/>
        </w:tabs>
        <w:spacing w:after="8"/>
        <w:ind w:left="183" w:right="60"/>
        <w:jc w:val="center"/>
        <w:rPr>
          <w:rFonts w:cs="Times New Roman"/>
          <w:b/>
          <w:sz w:val="10"/>
          <w:szCs w:val="10"/>
        </w:rPr>
      </w:pPr>
    </w:p>
    <w:p w:rsidR="002D3718" w:rsidRDefault="008F497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2D3718" w:rsidRDefault="008F497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2D3718" w:rsidRDefault="008F497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2D3718" w:rsidRDefault="008F497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2D3718" w:rsidRDefault="008F497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2D3718" w:rsidRDefault="008F4970">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2D3718" w:rsidRDefault="008F497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2D3718" w:rsidRDefault="008F497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2D3718" w:rsidRDefault="008F497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w:t>
      </w:r>
      <w:r>
        <w:rPr>
          <w:rFonts w:cs="Times New Roman"/>
          <w:sz w:val="22"/>
          <w:szCs w:val="22"/>
        </w:rPr>
        <w:lastRenderedPageBreak/>
        <w:t xml:space="preserve">даты окончания приема заявок, при этом первоначальная заявка должна быть отозвана. </w:t>
      </w:r>
    </w:p>
    <w:p w:rsidR="002D3718" w:rsidRDefault="008F497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2D3718" w:rsidRDefault="008F4970">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2D3718" w:rsidRDefault="008F4970">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2D3718" w:rsidRDefault="008F497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2D3718" w:rsidRDefault="008F497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2D3718" w:rsidRDefault="008F4970">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2D3718" w:rsidRDefault="008F4970">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2D3718" w:rsidRDefault="008F4970">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2D3718" w:rsidRDefault="008F497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2D3718" w:rsidRDefault="008F497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2D3718" w:rsidRDefault="008F497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2D3718" w:rsidRDefault="008F497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2D3718" w:rsidRDefault="002D3718">
      <w:pPr>
        <w:ind w:left="-15" w:right="60" w:firstLine="157"/>
        <w:jc w:val="both"/>
        <w:rPr>
          <w:rFonts w:cs="Times New Roman"/>
          <w:sz w:val="22"/>
          <w:szCs w:val="22"/>
        </w:rPr>
      </w:pPr>
    </w:p>
    <w:p w:rsidR="002D3718" w:rsidRDefault="008F497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2D3718" w:rsidRDefault="008F497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2D3718" w:rsidRDefault="008F497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2D3718" w:rsidRDefault="008F497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2D3718" w:rsidRDefault="008F497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2D3718" w:rsidRDefault="008F497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2D3718" w:rsidRDefault="008F497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2D3718" w:rsidRDefault="008F497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2D3718" w:rsidRDefault="008F4970">
      <w:pPr>
        <w:ind w:right="62" w:firstLine="15"/>
        <w:jc w:val="both"/>
        <w:rPr>
          <w:rFonts w:cs="Times New Roman"/>
          <w:sz w:val="22"/>
          <w:szCs w:val="22"/>
        </w:rPr>
      </w:pPr>
      <w:r>
        <w:rPr>
          <w:rFonts w:cs="Times New Roman"/>
          <w:sz w:val="22"/>
          <w:szCs w:val="22"/>
        </w:rPr>
        <w:lastRenderedPageBreak/>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2D3718" w:rsidRDefault="008F4970">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w:t>
      </w:r>
      <w:r w:rsidR="009D3E55">
        <w:rPr>
          <w:rFonts w:cs="Times New Roman"/>
          <w:sz w:val="22"/>
          <w:szCs w:val="22"/>
        </w:rPr>
        <w:t>10</w:t>
      </w:r>
      <w:r>
        <w:rPr>
          <w:rFonts w:cs="Times New Roman"/>
          <w:sz w:val="22"/>
          <w:szCs w:val="22"/>
        </w:rPr>
        <w:t xml:space="preserve"> (</w:t>
      </w:r>
      <w:r w:rsidR="009D3E55">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9D3E55">
        <w:rPr>
          <w:rFonts w:cs="Times New Roman"/>
          <w:sz w:val="22"/>
          <w:szCs w:val="22"/>
        </w:rPr>
        <w:t>10</w:t>
      </w:r>
      <w:r>
        <w:rPr>
          <w:rFonts w:cs="Times New Roman"/>
          <w:sz w:val="22"/>
          <w:szCs w:val="22"/>
        </w:rPr>
        <w:t xml:space="preserve"> (</w:t>
      </w:r>
      <w:r w:rsidR="009D3E55">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2D3718" w:rsidRDefault="008F497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2D3718" w:rsidRDefault="008F497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2D3718" w:rsidRDefault="008F497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2D3718" w:rsidRDefault="008F497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2D3718" w:rsidRDefault="008F4970">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2D3718" w:rsidRDefault="008F497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2D3718" w:rsidRDefault="008F497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2D3718" w:rsidRDefault="008F497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2D3718" w:rsidRDefault="008F497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2D3718" w:rsidRDefault="008F497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2D3718" w:rsidRDefault="008F497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2D3718" w:rsidRDefault="008F497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2D3718" w:rsidRDefault="008F497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2D3718" w:rsidRDefault="008F497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2D3718" w:rsidRDefault="008F497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2D3718" w:rsidRDefault="008F497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2D3718" w:rsidRDefault="002D3718">
      <w:pPr>
        <w:spacing w:line="264" w:lineRule="auto"/>
        <w:ind w:left="1789" w:right="60"/>
        <w:jc w:val="both"/>
        <w:rPr>
          <w:rFonts w:cs="Times New Roman"/>
          <w:sz w:val="22"/>
          <w:szCs w:val="22"/>
        </w:rPr>
      </w:pPr>
    </w:p>
    <w:p w:rsidR="002D3718" w:rsidRDefault="008F497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2D3718" w:rsidRDefault="008F4970">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Продавцом в течение </w:t>
      </w:r>
      <w:r w:rsidR="00BC7181">
        <w:rPr>
          <w:rFonts w:cs="Times New Roman"/>
          <w:b/>
          <w:sz w:val="22"/>
          <w:szCs w:val="22"/>
        </w:rPr>
        <w:t>5</w:t>
      </w:r>
      <w:r>
        <w:rPr>
          <w:rFonts w:cs="Times New Roman"/>
          <w:b/>
          <w:sz w:val="22"/>
          <w:szCs w:val="22"/>
        </w:rPr>
        <w:t>(</w:t>
      </w:r>
      <w:r w:rsidR="00BC7181">
        <w:rPr>
          <w:rFonts w:cs="Times New Roman"/>
          <w:b/>
          <w:sz w:val="22"/>
          <w:szCs w:val="22"/>
        </w:rPr>
        <w:t>пяти</w:t>
      </w:r>
      <w:r>
        <w:rPr>
          <w:rFonts w:cs="Times New Roman"/>
          <w:b/>
          <w:sz w:val="22"/>
          <w:szCs w:val="22"/>
        </w:rPr>
        <w:t xml:space="preserve">) рабочих дней с даты подведения итогов аукциона. </w:t>
      </w:r>
    </w:p>
    <w:p w:rsidR="002D3718" w:rsidRDefault="008F4970">
      <w:pPr>
        <w:ind w:right="-57" w:firstLine="567"/>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184BD2">
        <w:rPr>
          <w:b/>
          <w:bCs/>
          <w:sz w:val="22"/>
          <w:szCs w:val="22"/>
        </w:rPr>
        <w:t>может</w:t>
      </w:r>
      <w:r>
        <w:rPr>
          <w:b/>
          <w:bCs/>
          <w:sz w:val="22"/>
          <w:szCs w:val="22"/>
        </w:rPr>
        <w:t xml:space="preserve"> быть заключен с единственным участником аукциона по начальной цене Лота в течение </w:t>
      </w:r>
      <w:r w:rsidR="00BC7181">
        <w:rPr>
          <w:b/>
          <w:bCs/>
          <w:sz w:val="22"/>
          <w:szCs w:val="22"/>
        </w:rPr>
        <w:t>5</w:t>
      </w:r>
      <w:r>
        <w:rPr>
          <w:b/>
          <w:bCs/>
          <w:sz w:val="22"/>
          <w:szCs w:val="22"/>
        </w:rPr>
        <w:t xml:space="preserve"> (</w:t>
      </w:r>
      <w:r w:rsidR="00BC7181">
        <w:rPr>
          <w:b/>
          <w:bCs/>
          <w:sz w:val="22"/>
          <w:szCs w:val="22"/>
        </w:rPr>
        <w:t>пяти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2D3718" w:rsidRDefault="008F4970">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2D3718" w:rsidRDefault="008F4970">
      <w:pPr>
        <w:ind w:firstLine="709"/>
        <w:jc w:val="both"/>
        <w:rPr>
          <w:rFonts w:eastAsia="Calibri"/>
          <w:b/>
          <w:bCs/>
          <w:sz w:val="22"/>
          <w:szCs w:val="22"/>
          <w:lang w:eastAsia="en-US"/>
        </w:rPr>
      </w:pPr>
      <w:r>
        <w:rPr>
          <w:rFonts w:eastAsia="Calibri"/>
          <w:b/>
          <w:bCs/>
          <w:sz w:val="22"/>
          <w:szCs w:val="22"/>
          <w:lang w:eastAsia="en-US"/>
        </w:rPr>
        <w:lastRenderedPageBreak/>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2D3718" w:rsidRDefault="008F4970">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BC7181">
        <w:rPr>
          <w:rFonts w:eastAsia="Calibri"/>
          <w:sz w:val="22"/>
          <w:szCs w:val="22"/>
          <w:shd w:val="clear" w:color="auto" w:fill="FFFFFF"/>
        </w:rPr>
        <w:t>10</w:t>
      </w:r>
      <w:r>
        <w:rPr>
          <w:rFonts w:eastAsia="Calibri"/>
          <w:sz w:val="22"/>
          <w:szCs w:val="22"/>
          <w:shd w:val="clear" w:color="auto" w:fill="FFFFFF"/>
        </w:rPr>
        <w:t xml:space="preserve"> (</w:t>
      </w:r>
      <w:r w:rsidR="00BC7181">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2D3718" w:rsidRDefault="008F497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ind w:left="-15" w:right="60"/>
        <w:jc w:val="both"/>
        <w:rPr>
          <w:rFonts w:eastAsia="Courier New" w:cs="Times New Roman"/>
          <w:bCs/>
          <w:sz w:val="22"/>
          <w:shd w:val="clear" w:color="auto" w:fill="FFFFFF"/>
        </w:rPr>
      </w:pPr>
    </w:p>
    <w:p w:rsidR="002D3718" w:rsidRDefault="008F4970">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rsidR="002D3718" w:rsidRDefault="008F497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2D3718" w:rsidRDefault="002D3718">
      <w:pPr>
        <w:tabs>
          <w:tab w:val="left" w:pos="3492"/>
        </w:tabs>
        <w:ind w:right="60"/>
        <w:jc w:val="both"/>
        <w:rPr>
          <w:rFonts w:cs="Times New Roman"/>
          <w:sz w:val="22"/>
          <w:szCs w:val="22"/>
        </w:rPr>
      </w:pPr>
    </w:p>
    <w:p w:rsidR="002D3718" w:rsidRDefault="008F4970">
      <w:pPr>
        <w:spacing w:line="259" w:lineRule="auto"/>
        <w:ind w:right="60" w:firstLine="709"/>
        <w:jc w:val="both"/>
        <w:rPr>
          <w:rFonts w:cs="Times New Roman"/>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BC7181">
        <w:rPr>
          <w:rFonts w:cs="Times New Roman"/>
          <w:b/>
          <w:bCs/>
          <w:sz w:val="22"/>
          <w:szCs w:val="22"/>
        </w:rPr>
        <w:t>9:00-18:00</w:t>
      </w:r>
      <w:r>
        <w:rPr>
          <w:rFonts w:cs="Times New Roman"/>
          <w:b/>
          <w:bCs/>
          <w:sz w:val="22"/>
          <w:szCs w:val="22"/>
        </w:rPr>
        <w:t xml:space="preserve"> тел. моб.: +7</w:t>
      </w:r>
      <w:r w:rsidR="00BC7181">
        <w:rPr>
          <w:rFonts w:cs="Times New Roman"/>
          <w:b/>
          <w:bCs/>
          <w:sz w:val="22"/>
          <w:szCs w:val="22"/>
        </w:rPr>
        <w:t>9313981486</w:t>
      </w:r>
      <w:r>
        <w:rPr>
          <w:rFonts w:cs="Times New Roman"/>
          <w:b/>
          <w:bCs/>
          <w:sz w:val="22"/>
          <w:szCs w:val="22"/>
        </w:rPr>
        <w:t>,</w:t>
      </w:r>
      <w:r>
        <w:rPr>
          <w:rFonts w:cs="Times New Roman"/>
          <w:sz w:val="22"/>
          <w:szCs w:val="22"/>
        </w:rPr>
        <w:t xml:space="preserve"> </w:t>
      </w:r>
      <w:r>
        <w:rPr>
          <w:rFonts w:cs="Times New Roman"/>
          <w:sz w:val="22"/>
          <w:szCs w:val="22"/>
          <w:lang w:val="en-US"/>
        </w:rPr>
        <w:t>e</w:t>
      </w:r>
      <w:r>
        <w:rPr>
          <w:rFonts w:cs="Times New Roman"/>
          <w:sz w:val="22"/>
          <w:szCs w:val="22"/>
        </w:rPr>
        <w:t>-</w:t>
      </w:r>
      <w:r>
        <w:rPr>
          <w:rFonts w:cs="Times New Roman"/>
          <w:sz w:val="22"/>
          <w:szCs w:val="22"/>
          <w:lang w:val="en-US"/>
        </w:rPr>
        <w:t>mail</w:t>
      </w:r>
      <w:r>
        <w:rPr>
          <w:rFonts w:cs="Times New Roman"/>
          <w:sz w:val="22"/>
          <w:szCs w:val="22"/>
        </w:rPr>
        <w:t xml:space="preserve">: </w:t>
      </w:r>
      <w:r w:rsidR="004F50FF" w:rsidRPr="004F50FF">
        <w:rPr>
          <w:rFonts w:cs="Times New Roman"/>
          <w:sz w:val="22"/>
          <w:szCs w:val="22"/>
        </w:rPr>
        <w:t>gavrilin@radholding.ru</w:t>
      </w:r>
    </w:p>
    <w:p w:rsidR="002D3718" w:rsidRDefault="002D3718">
      <w:pPr>
        <w:spacing w:line="259" w:lineRule="auto"/>
        <w:ind w:right="60"/>
        <w:rPr>
          <w:rFonts w:cs="Times New Roman"/>
          <w:sz w:val="22"/>
          <w:szCs w:val="22"/>
        </w:rPr>
      </w:pPr>
    </w:p>
    <w:p w:rsidR="002D3718" w:rsidRDefault="008F4970">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2D3718" w:rsidRDefault="002D3718">
      <w:pPr>
        <w:spacing w:line="259" w:lineRule="auto"/>
        <w:ind w:right="60"/>
        <w:rPr>
          <w:rFonts w:cs="Times New Roman"/>
          <w:sz w:val="22"/>
          <w:szCs w:val="22"/>
        </w:rPr>
      </w:pPr>
    </w:p>
    <w:p w:rsidR="002D3718" w:rsidRDefault="008F497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2D3718" w:rsidRDefault="008F497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2D3718" w:rsidRDefault="008F4970">
      <w:pPr>
        <w:spacing w:line="259" w:lineRule="auto"/>
        <w:ind w:right="60"/>
        <w:rPr>
          <w:rFonts w:cs="Times New Roman"/>
          <w:sz w:val="22"/>
          <w:szCs w:val="22"/>
        </w:rPr>
      </w:pPr>
      <w:r>
        <w:rPr>
          <w:rFonts w:cs="Times New Roman"/>
          <w:sz w:val="22"/>
          <w:szCs w:val="22"/>
        </w:rPr>
        <w:t>(звонок по РФ бесплатный)</w:t>
      </w:r>
    </w:p>
    <w:p w:rsidR="002D3718" w:rsidRDefault="002D3718">
      <w:pPr>
        <w:spacing w:line="259" w:lineRule="auto"/>
        <w:ind w:right="60"/>
        <w:rPr>
          <w:rFonts w:cs="Times New Roman"/>
          <w:sz w:val="10"/>
          <w:szCs w:val="10"/>
        </w:rPr>
      </w:pPr>
    </w:p>
    <w:p w:rsidR="002D3718" w:rsidRDefault="008F4970">
      <w:pPr>
        <w:spacing w:line="259" w:lineRule="auto"/>
        <w:ind w:right="60"/>
        <w:rPr>
          <w:rFonts w:cs="Times New Roman"/>
          <w:sz w:val="22"/>
          <w:szCs w:val="22"/>
        </w:rPr>
      </w:pPr>
      <w:r>
        <w:rPr>
          <w:rFonts w:cs="Times New Roman"/>
          <w:sz w:val="22"/>
          <w:szCs w:val="22"/>
        </w:rPr>
        <w:t xml:space="preserve">Приложения: </w:t>
      </w:r>
    </w:p>
    <w:sectPr w:rsidR="002D3718">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D58" w:rsidRDefault="007C6D58">
      <w:r>
        <w:separator/>
      </w:r>
    </w:p>
  </w:endnote>
  <w:endnote w:type="continuationSeparator" w:id="0">
    <w:p w:rsidR="007C6D58" w:rsidRDefault="007C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D58" w:rsidRDefault="007C6D58">
      <w:r>
        <w:separator/>
      </w:r>
    </w:p>
  </w:footnote>
  <w:footnote w:type="continuationSeparator" w:id="0">
    <w:p w:rsidR="007C6D58" w:rsidRDefault="007C6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9042B"/>
    <w:multiLevelType w:val="multilevel"/>
    <w:tmpl w:val="45EE1488"/>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BD92507"/>
    <w:multiLevelType w:val="multilevel"/>
    <w:tmpl w:val="59DCABB6"/>
    <w:lvl w:ilvl="0">
      <w:start w:val="1"/>
      <w:numFmt w:val="none"/>
      <w:suff w:val="nothing"/>
      <w:lvlText w:val="ᦌёk噃䰊ၜ࿿࿿࿿࿿࿿࿿࿿࿿࿿빰Ử꾐͔"/>
      <w:lvlJc w:val="left"/>
      <w:pPr>
        <w:tabs>
          <w:tab w:val="num" w:pos="0"/>
        </w:tabs>
        <w:ind w:left="0" w:firstLine="0"/>
      </w:pPr>
    </w:lvl>
    <w:lvl w:ilvl="1">
      <w:start w:val="1"/>
      <w:numFmt w:val="none"/>
      <w:suff w:val="nothing"/>
      <w:lvlText w:val="ᦌёk噃䰊ၜ࿿࿿࿿࿿࿿࿿࿿࿿࿿빰Ử꾐͔"/>
      <w:lvlJc w:val="left"/>
      <w:pPr>
        <w:tabs>
          <w:tab w:val="num" w:pos="0"/>
        </w:tabs>
        <w:ind w:left="0" w:firstLine="0"/>
      </w:pPr>
    </w:lvl>
    <w:lvl w:ilvl="2">
      <w:start w:val="1"/>
      <w:numFmt w:val="none"/>
      <w:suff w:val="nothing"/>
      <w:lvlText w:val="ᦌёk噃䰊ၜ࿿࿿࿿࿿࿿࿿࿿࿿࿿빰Ử꾐͔"/>
      <w:lvlJc w:val="left"/>
      <w:pPr>
        <w:tabs>
          <w:tab w:val="num" w:pos="0"/>
        </w:tabs>
        <w:ind w:left="0" w:firstLine="0"/>
      </w:pPr>
    </w:lvl>
    <w:lvl w:ilvl="3">
      <w:start w:val="1"/>
      <w:numFmt w:val="none"/>
      <w:suff w:val="nothing"/>
      <w:lvlText w:val="ᦌёk噃䰊ၜ࿿࿿࿿࿿࿿࿿࿿࿿࿿빰Ử꾐͔"/>
      <w:lvlJc w:val="left"/>
      <w:pPr>
        <w:tabs>
          <w:tab w:val="num" w:pos="0"/>
        </w:tabs>
        <w:ind w:left="0" w:firstLine="0"/>
      </w:pPr>
    </w:lvl>
    <w:lvl w:ilvl="4">
      <w:start w:val="1"/>
      <w:numFmt w:val="none"/>
      <w:suff w:val="nothing"/>
      <w:lvlText w:val="ᦌёk噃䰊ၜ࿿࿿࿿࿿࿿࿿࿿࿿࿿빰Ử꾐͔"/>
      <w:lvlJc w:val="left"/>
      <w:pPr>
        <w:tabs>
          <w:tab w:val="num" w:pos="0"/>
        </w:tabs>
        <w:ind w:left="0" w:firstLine="0"/>
      </w:pPr>
    </w:lvl>
    <w:lvl w:ilvl="5">
      <w:start w:val="1"/>
      <w:numFmt w:val="none"/>
      <w:suff w:val="nothing"/>
      <w:lvlText w:val="ᦌёk噃䰊ၜ࿿࿿࿿࿿࿿࿿࿿࿿࿿빰Ử꾐͔"/>
      <w:lvlJc w:val="left"/>
      <w:pPr>
        <w:tabs>
          <w:tab w:val="num" w:pos="0"/>
        </w:tabs>
        <w:ind w:left="0" w:firstLine="0"/>
      </w:pPr>
    </w:lvl>
    <w:lvl w:ilvl="6">
      <w:start w:val="1"/>
      <w:numFmt w:val="none"/>
      <w:suff w:val="nothing"/>
      <w:lvlText w:val="ᦌёk噃䰊ၜ࿿࿿࿿࿿࿿࿿࿿࿿࿿빰Ử꾐͔"/>
      <w:lvlJc w:val="left"/>
      <w:pPr>
        <w:tabs>
          <w:tab w:val="num" w:pos="0"/>
        </w:tabs>
        <w:ind w:left="0" w:firstLine="0"/>
      </w:pPr>
    </w:lvl>
    <w:lvl w:ilvl="7">
      <w:start w:val="1"/>
      <w:numFmt w:val="none"/>
      <w:suff w:val="nothing"/>
      <w:lvlText w:val="ᦌёk噃䰊ၜ࿿࿿࿿࿿࿿࿿࿿࿿࿿빰Ử꾐͔"/>
      <w:lvlJc w:val="left"/>
      <w:pPr>
        <w:tabs>
          <w:tab w:val="num" w:pos="0"/>
        </w:tabs>
        <w:ind w:left="0" w:firstLine="0"/>
      </w:pPr>
    </w:lvl>
    <w:lvl w:ilvl="8">
      <w:start w:val="1"/>
      <w:numFmt w:val="none"/>
      <w:suff w:val="nothing"/>
      <w:lvlText w:val="ᦌёk噃䰊ၜ࿿࿿࿿࿿࿿࿿࿿࿿࿿빰Ử꾐͔"/>
      <w:lvlJc w:val="left"/>
      <w:pPr>
        <w:tabs>
          <w:tab w:val="num" w:pos="0"/>
        </w:tabs>
        <w:ind w:left="0" w:firstLine="0"/>
      </w:pPr>
    </w:lvl>
  </w:abstractNum>
  <w:abstractNum w:abstractNumId="2" w15:restartNumberingAfterBreak="0">
    <w:nsid w:val="3EF90C65"/>
    <w:multiLevelType w:val="multilevel"/>
    <w:tmpl w:val="5CF8F4C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4C0A5643"/>
    <w:multiLevelType w:val="multilevel"/>
    <w:tmpl w:val="105CD9F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74F951FA"/>
    <w:multiLevelType w:val="multilevel"/>
    <w:tmpl w:val="79181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1F22AA"/>
    <w:multiLevelType w:val="multilevel"/>
    <w:tmpl w:val="0F4057B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718"/>
    <w:rsid w:val="001319CD"/>
    <w:rsid w:val="001559B3"/>
    <w:rsid w:val="001807BF"/>
    <w:rsid w:val="00184BD2"/>
    <w:rsid w:val="001C57C6"/>
    <w:rsid w:val="00252C32"/>
    <w:rsid w:val="00253092"/>
    <w:rsid w:val="002C24E1"/>
    <w:rsid w:val="002D3718"/>
    <w:rsid w:val="004F50FF"/>
    <w:rsid w:val="00663852"/>
    <w:rsid w:val="006C1FB8"/>
    <w:rsid w:val="006F48A2"/>
    <w:rsid w:val="007A2129"/>
    <w:rsid w:val="007A28C7"/>
    <w:rsid w:val="007C6D58"/>
    <w:rsid w:val="008F4970"/>
    <w:rsid w:val="00957E97"/>
    <w:rsid w:val="009A29C0"/>
    <w:rsid w:val="009D3E55"/>
    <w:rsid w:val="00B50979"/>
    <w:rsid w:val="00BC7181"/>
    <w:rsid w:val="00EF4876"/>
    <w:rsid w:val="00F45A69"/>
    <w:rsid w:val="00F64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AF8F6-41B9-4CE7-A349-88B6AAF5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3D28C-5CA6-40A7-80D8-54A29F86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4261</Words>
  <Characters>24291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Гаврилин Андрей Николаевич</cp:lastModifiedBy>
  <cp:revision>3</cp:revision>
  <dcterms:created xsi:type="dcterms:W3CDTF">2026-06-22T15:00:00Z</dcterms:created>
  <dcterms:modified xsi:type="dcterms:W3CDTF">2026-06-23T08:06:00Z</dcterms:modified>
  <dc:language>ru-RU</dc:language>
</cp:coreProperties>
</file>