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contextualSpacing w:val="true"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Список документов для предоставления согласия </w:t>
      </w:r>
      <w:r>
        <w:rPr>
          <w:rFonts w:ascii="Times New Roman" w:hAnsi="Times New Roman" w:cstheme="minorHAnsi"/>
          <w:b/>
          <w:sz w:val="24"/>
          <w:szCs w:val="24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на продажу / отчуждение акций АО «Микос» </w:t>
      </w:r>
      <w:r>
        <w:rPr>
          <w:rFonts w:ascii="Times New Roman" w:hAnsi="Times New Roman" w:cstheme="minorHAnsi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</w:r>
      <w:r>
        <w:rPr>
          <w:rFonts w:ascii="Times New Roman" w:hAnsi="Times New Roman" w:cstheme="minorHAnsi"/>
          <w:b/>
          <w:sz w:val="24"/>
          <w:szCs w:val="24"/>
        </w:rPr>
      </w:r>
    </w:p>
    <w:tbl>
      <w:tblPr>
        <w:tblW w:w="9493" w:type="dxa"/>
        <w:tblBorders/>
        <w:tblLook w:val="04A0" w:firstRow="1" w:lastRow="0" w:firstColumn="1" w:lastColumn="0" w:noHBand="0" w:noVBand="1"/>
      </w:tblPr>
      <w:tblGrid>
        <w:gridCol w:w="701"/>
        <w:gridCol w:w="7474"/>
        <w:gridCol w:w="1318"/>
      </w:tblGrid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Наличие</w:t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41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Документы по кредитной сделке:</w:t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Проект договоров купли продажи акций и объектов недвижимости;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Основные сведения о поручителях, залогодателях (по форме Банка);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Документ (в виде письма или справки), подтверждающий согласие физических лиц - участников сделки на обработку персональных данных, полученные по форме и в порядке, установленном в Банке;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Согласие на получение информации из БКИ в отношении ФЛ (собственники + ген. директор);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Копии всех страниц паспортов собственников бизнеса и лиц, включенных в карточку образцов подписей и оттиска печати в обслуживающем Банке;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Заверение о структуре владения (по форме Банка);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В отношении потенциального покупателя ЮЛ:</w:t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Сведения о руководителях и лицах, принимающих решения ЕИО;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Правоустанавливающие документы: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Трудовой договор, заключенный с руководителем и главным бухгалтером компании- покупателя (в случае если трудовой договор не заключался - соответствующее письмо за подписью руководителя предприятия, заверенное печатью);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Состав акционеров/участников (свыше 1% акций/долей/паев) в настоящее время, а также данные об изменениях в составе за последний год (с долей участия более 5%), в т.ч. сведения об акционерах, от имени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 которых номинальными держателями выступают другие лица, по состоянию на момент проведения годового собрания акционеров или более позднюю дату; аналогичная информация предоставляется в отношении акционеров, владеющих более 20 % уставного капитала Заемщика;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Действующая редакция Устава заемщика/поручителя, включая все изменения и сопутствующие к ним документы;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Протокол/решение о создании юридического лица заемщика/поручителя;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Приказы и решения/протоколы о назначении единоличного исполнительного органа/бухгалтера;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2.6.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Персональный состав Органов управления;</w:t>
            </w:r>
            <w:r>
              <w:rPr>
                <w:rFonts w:ascii="Times New Roman" w:hAnsi="Times New Roman" w:cstheme="minorHAns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2.7.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Письмо об отсутствии изменений. Приложение № 9 Письмо об отсутствии изменений;</w:t>
            </w:r>
            <w:r>
              <w:rPr>
                <w:rFonts w:ascii="Times New Roman" w:hAnsi="Times New Roman" w:cstheme="minorHAns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2.8.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 Заверения и гарантии (формы в папке «Заверения и гарантии»)</w:t>
            </w:r>
            <w:r>
              <w:rPr>
                <w:rFonts w:ascii="Times New Roman" w:hAnsi="Times New Roman" w:cstheme="minorHAns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Справка из подразделения ФНС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России (МНС России) 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о состоянии расчетов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с бюджетом или акт сверки расчетов с бюджетом (При наличии просроченной задолженности перед бюджетами какого-либо уровня - справка налогоплательщика с указанием сроков, объемов и причин возникновения долга);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Справка из подразделения ФНС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России (МНС России) 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о счетах,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открытых в коммерческих банках;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Справка из подразделения ПФР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России 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о состоянии расчетов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с бюджетом или акт сверки расчетов с бюджетом (При наличии просроченной задолженности перед бюджетами какого- либо уровня - справка налогоплательщика с указанием сроков, объемов и причин возникновения долга);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Справки из обслуживающих банков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не должны более чем на 30 календарных дней предшествовать дате запроса - (если нет актуальных на текущий момент, то предварительно последние имеющиеся):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6.1.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 об остатках денежных средств на расчетных и текущих валютных счетах, и наличии ограничений на распоряжение денежными средствами (состоянии картотеки №2), находящимися на указанных счетах;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6.2.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о суммарных ежемесячных оборотах по расчетным и текущим валютным счетам за последние 12 месяцев;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6.3.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о наличии/отсутствии ссудной задолженности и забалансовых обязательств.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  <w:t xml:space="preserve">Финансовые документы:</w:t>
            </w:r>
            <w:r>
              <w:rPr>
                <w:rFonts w:ascii="Times New Roman" w:hAnsi="Times New Roman" w:cstheme="minorHAns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7.1.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Отчётность за 9 отчетных дат с расшифровками на последнюю дату - заверенные с отметкой налогового органа. Годовая отчётность за 2 последних года с приложениями № 3, 4, 5, пояснительной запиской и аудиторским заключением;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7.2.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Расшифровки основных статей баланса на последние 5 отчетных дат и ОСВ: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основные средства (в том числе 08 счет в разрезе проектов);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финансовые вложения;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дебиторская задолженность;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кредиторская задолженность;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кредиты и займы;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статей баланса, имеющих значительный объем (более 5% валюты баланса);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br/>
              <w:t xml:space="preserve">-      ОСВ счетов 02, 08, 10, 20, 86, 60, 62, 76 в разрезе субсчетов и контрагентов за последний отчетный год и на последнюю отчетную дату нарастающим итогом в формате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Excel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7.3.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Расшифровка выручки и себестоимости с приложением ОСВ 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сч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. 90-91 (в разрезе субсчетов) и ОСВ расшифровывающих управленческие и коммерческие расходы за 5 отчетных дат;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7.4.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Расшифровка забалансовых обязательств (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авалированные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 векселя, гарантии, поручительства) с указанием банка, суммы договора, возможной суммы задолженности, валюты, срока обязательства, процентной ставки на последнюю отч</w:t>
            </w:r>
            <w:bookmarkStart w:id="0" w:name="_GoBack"/>
            <w:r/>
            <w:bookmarkEnd w:id="0"/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етную дату;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7.5.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 Схема группы компаний (наименование, ИНН, указание участников, функций предприятия в группе);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noWrap/>
          </w:tcPr>
          <w:p>
            <w:pPr>
              <w:pBdr/>
              <w:spacing/>
              <w:ind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7.6.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4" w:type="dxa"/>
            <w:vAlign w:val="center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  <w:t xml:space="preserve">Копии налоговых деклараций не менее чем за 4 отчетных/налоговых периода.</w:t>
            </w:r>
            <w:r>
              <w:rPr>
                <w:rFonts w:ascii="Times New Roman" w:hAnsi="Times New Roman" w:cs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8" w:type="dxa"/>
            <w:vAlign w:val="center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</w:r>
      <w:r>
        <w:rPr>
          <w:rFonts w:ascii="Times New Roman" w:hAnsi="Times New Roman" w:cstheme="minorHAnsi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/>
      <w:ind/>
    </w:p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5" w:customStyle="1">
    <w:name w:val="Верхний колонтитул Знак"/>
    <w:basedOn w:val="701"/>
    <w:link w:val="704"/>
    <w:uiPriority w:val="99"/>
    <w:pPr>
      <w:pBdr/>
      <w:spacing/>
      <w:ind/>
    </w:p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7" w:customStyle="1">
    <w:name w:val="Нижний колонтитул Знак"/>
    <w:basedOn w:val="701"/>
    <w:link w:val="706"/>
    <w:uiPriority w:val="99"/>
    <w:pPr>
      <w:pBdr/>
      <w:spacing/>
      <w:ind/>
    </w:pPr>
  </w:style>
  <w:style w:type="paragraph" w:styleId="708">
    <w:name w:val="Balloon Text"/>
    <w:basedOn w:val="700"/>
    <w:link w:val="709"/>
    <w:uiPriority w:val="99"/>
    <w:semiHidden/>
    <w:unhideWhenUsed/>
    <w:pPr>
      <w:pBdr/>
      <w:spacing w:after="0" w:line="240" w:lineRule="auto"/>
      <w:ind/>
    </w:pPr>
    <w:rPr>
      <w:rFonts w:ascii="Segoe UI" w:hAnsi="Segoe UI"/>
      <w:sz w:val="18"/>
      <w:szCs w:val="18"/>
    </w:rPr>
  </w:style>
  <w:style w:type="character" w:styleId="709" w:customStyle="1">
    <w:name w:val="Текст выноски Знак"/>
    <w:basedOn w:val="701"/>
    <w:link w:val="708"/>
    <w:uiPriority w:val="99"/>
    <w:semiHidden/>
    <w:pPr>
      <w:pBdr/>
      <w:spacing/>
      <w:ind/>
    </w:pPr>
    <w:rPr>
      <w:rFonts w:ascii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Братолюбова</dc:creator>
  <cp:keywords/>
  <dc:description/>
  <cp:revision>3</cp:revision>
  <dcterms:created xsi:type="dcterms:W3CDTF">2026-04-17T15:35:00Z</dcterms:created>
  <dcterms:modified xsi:type="dcterms:W3CDTF">2026-04-22T07:09:30Z</dcterms:modified>
</cp:coreProperties>
</file>